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49E2" w14:textId="0F89BE20" w:rsidR="006533E6" w:rsidRDefault="00000000" w:rsidP="006533E6">
      <w:pPr>
        <w:spacing w:after="0" w:line="240" w:lineRule="auto"/>
        <w:jc w:val="center"/>
        <w:rPr>
          <w:b/>
          <w:bCs/>
          <w:lang w:val="es-ES"/>
        </w:rPr>
      </w:pPr>
      <w:r w:rsidRPr="006533E6">
        <w:rPr>
          <w:lang w:val="es-CO"/>
        </w:rPr>
        <w:t xml:space="preserve">Comentario crítico sobre </w:t>
      </w:r>
      <w:r w:rsidR="006533E6">
        <w:rPr>
          <w:lang w:val="es-CO"/>
        </w:rPr>
        <w:t xml:space="preserve">el </w:t>
      </w:r>
      <w:r w:rsidR="006533E6" w:rsidRPr="0073365C">
        <w:rPr>
          <w:b/>
          <w:bCs/>
          <w:lang w:val="es-ES"/>
        </w:rPr>
        <w:t>Capítulo 4.</w:t>
      </w:r>
      <w:r w:rsidR="006533E6" w:rsidRPr="006533E6">
        <w:rPr>
          <w:b/>
          <w:bCs/>
          <w:lang w:val="es-CO"/>
        </w:rPr>
        <w:t xml:space="preserve"> </w:t>
      </w:r>
      <w:r w:rsidR="006533E6" w:rsidRPr="0073365C">
        <w:rPr>
          <w:b/>
          <w:bCs/>
          <w:lang w:val="es-ES"/>
        </w:rPr>
        <w:t>Monitoreo integral basado en un sistema de indicadores: el avance hacia un nuevo modelo</w:t>
      </w:r>
    </w:p>
    <w:p w14:paraId="42C7120F" w14:textId="77777777" w:rsidR="0063714B" w:rsidRDefault="0063714B" w:rsidP="006533E6">
      <w:pPr>
        <w:spacing w:after="0" w:line="240" w:lineRule="auto"/>
        <w:jc w:val="center"/>
        <w:rPr>
          <w:b/>
          <w:bCs/>
          <w:lang w:val="es-ES"/>
        </w:rPr>
      </w:pPr>
    </w:p>
    <w:p w14:paraId="7FAAD907" w14:textId="77777777" w:rsidR="0063714B" w:rsidRDefault="0063714B" w:rsidP="006533E6">
      <w:pPr>
        <w:spacing w:after="0" w:line="240" w:lineRule="auto"/>
        <w:jc w:val="center"/>
        <w:rPr>
          <w:b/>
          <w:bCs/>
          <w:lang w:val="es-ES"/>
        </w:rPr>
      </w:pPr>
    </w:p>
    <w:p w14:paraId="34B73CC0" w14:textId="77777777" w:rsidR="0063714B" w:rsidRPr="0063714B" w:rsidRDefault="0063714B" w:rsidP="0063714B">
      <w:pPr>
        <w:spacing w:after="0" w:line="240" w:lineRule="auto"/>
        <w:jc w:val="both"/>
        <w:rPr>
          <w:b/>
          <w:bCs/>
          <w:lang w:val="es-ES"/>
        </w:rPr>
      </w:pPr>
      <w:r w:rsidRPr="0063714B">
        <w:rPr>
          <w:b/>
          <w:bCs/>
          <w:lang w:val="es-ES"/>
        </w:rPr>
        <w:t>Generales</w:t>
      </w:r>
    </w:p>
    <w:p w14:paraId="74A255C8" w14:textId="77777777" w:rsidR="0063714B" w:rsidRPr="00790B02" w:rsidRDefault="0063714B" w:rsidP="0063714B">
      <w:pPr>
        <w:pStyle w:val="Prrafodelista"/>
        <w:spacing w:after="0" w:line="240" w:lineRule="auto"/>
        <w:jc w:val="both"/>
        <w:rPr>
          <w:b/>
          <w:bCs/>
          <w:lang w:val="es-ES"/>
        </w:rPr>
      </w:pPr>
    </w:p>
    <w:p w14:paraId="12C1D72A" w14:textId="77777777" w:rsidR="0063714B" w:rsidRDefault="0063714B" w:rsidP="0063714B">
      <w:pPr>
        <w:pStyle w:val="Prrafodelista"/>
        <w:numPr>
          <w:ilvl w:val="0"/>
          <w:numId w:val="10"/>
        </w:numPr>
        <w:spacing w:after="0" w:line="240" w:lineRule="auto"/>
        <w:jc w:val="both"/>
        <w:rPr>
          <w:lang w:val="es-ES"/>
        </w:rPr>
      </w:pPr>
      <w:r w:rsidRPr="0073365C">
        <w:rPr>
          <w:lang w:val="es-ES"/>
        </w:rPr>
        <w:t>El capítulo invoca estándares internacionales de calidad, pero no explica cómo las incertidumbres metodológicas afectan la cifra final, lo que puede generar estimaciones inexactas, interpretaciones erróneas y decisiones mal informadas, vulnerando el principio fundamental de responsabilidad y transparencia.</w:t>
      </w:r>
    </w:p>
    <w:p w14:paraId="31682353" w14:textId="77777777" w:rsidR="0063714B" w:rsidRPr="0073365C" w:rsidRDefault="0063714B" w:rsidP="0063714B">
      <w:pPr>
        <w:pStyle w:val="Prrafodelista"/>
        <w:spacing w:after="0" w:line="240" w:lineRule="auto"/>
        <w:jc w:val="both"/>
        <w:rPr>
          <w:lang w:val="es-ES"/>
        </w:rPr>
      </w:pPr>
    </w:p>
    <w:p w14:paraId="0320026B" w14:textId="77777777" w:rsidR="0063714B" w:rsidRPr="00FD6407" w:rsidRDefault="0063714B" w:rsidP="0063714B">
      <w:pPr>
        <w:pStyle w:val="Prrafodelista"/>
        <w:numPr>
          <w:ilvl w:val="0"/>
          <w:numId w:val="10"/>
        </w:numPr>
        <w:spacing w:after="0" w:line="240" w:lineRule="auto"/>
        <w:jc w:val="both"/>
        <w:rPr>
          <w:lang w:val="es-419"/>
        </w:rPr>
      </w:pPr>
      <w:r w:rsidRPr="00FD6407">
        <w:rPr>
          <w:lang w:val="es-ES"/>
        </w:rPr>
        <w:t>El capítulo no protege la integridad técnica del indicador: normaliza limitaciones, no contextualiza lo ocurrido con la estimación de 2023 y omite las restricciones señaladas en el comunicado del 6 de octubre de UNODC</w:t>
      </w:r>
      <w:r>
        <w:rPr>
          <w:lang w:val="es-ES"/>
        </w:rPr>
        <w:t>.</w:t>
      </w:r>
    </w:p>
    <w:p w14:paraId="7E097F7C" w14:textId="77777777" w:rsidR="0063714B" w:rsidRPr="00FD6407" w:rsidRDefault="0063714B" w:rsidP="0063714B">
      <w:pPr>
        <w:pStyle w:val="Prrafodelista"/>
        <w:spacing w:after="0" w:line="240" w:lineRule="auto"/>
        <w:jc w:val="both"/>
        <w:rPr>
          <w:lang w:val="es-419"/>
        </w:rPr>
      </w:pPr>
    </w:p>
    <w:p w14:paraId="4D6CB63A" w14:textId="77777777" w:rsidR="0063714B" w:rsidRPr="00CE6956" w:rsidRDefault="0063714B" w:rsidP="0063714B">
      <w:pPr>
        <w:pStyle w:val="Prrafodelista"/>
        <w:numPr>
          <w:ilvl w:val="0"/>
          <w:numId w:val="10"/>
        </w:numPr>
        <w:spacing w:after="0" w:line="240" w:lineRule="auto"/>
        <w:jc w:val="both"/>
        <w:rPr>
          <w:lang w:val="es-419"/>
        </w:rPr>
      </w:pPr>
      <w:r w:rsidRPr="00FD6407">
        <w:rPr>
          <w:lang w:val="es-ES"/>
        </w:rPr>
        <w:t>La redacción del capítulo sugiere que las situaciones identificadas forman parte de un comportamiento esperado y que la metodología sigue siendo plenamente pertinente, pese a que actualmente se encuentra en revisión integral. Asimismo, presenta los acuerdos metodológicos como vigentes, desconociendo que, desde el Ministerio de Justicia y del Derecho, estos están siendo reevaluados en su totalidad.</w:t>
      </w:r>
    </w:p>
    <w:p w14:paraId="1FF2C564" w14:textId="77777777" w:rsidR="00CE6956" w:rsidRPr="00CE6956" w:rsidRDefault="00CE6956" w:rsidP="00CE6956">
      <w:pPr>
        <w:pStyle w:val="Prrafodelista"/>
        <w:rPr>
          <w:lang w:val="es-419"/>
        </w:rPr>
      </w:pPr>
    </w:p>
    <w:p w14:paraId="3ED24465" w14:textId="77777777" w:rsidR="00CE6956" w:rsidRPr="00A83D9F" w:rsidRDefault="00CE6956" w:rsidP="00CE6956">
      <w:pPr>
        <w:pStyle w:val="Prrafodelista"/>
        <w:numPr>
          <w:ilvl w:val="0"/>
          <w:numId w:val="10"/>
        </w:numPr>
        <w:spacing w:after="0" w:line="240" w:lineRule="auto"/>
        <w:jc w:val="both"/>
        <w:rPr>
          <w:lang w:val="es-419"/>
        </w:rPr>
      </w:pPr>
      <w:r w:rsidRPr="002F541E">
        <w:rPr>
          <w:lang w:val="es-419"/>
        </w:rPr>
        <w:t xml:space="preserve">Se insiste en que la metodología debe </w:t>
      </w:r>
      <w:r w:rsidRPr="002F541E">
        <w:rPr>
          <w:i/>
          <w:iCs/>
          <w:lang w:val="es-419"/>
        </w:rPr>
        <w:t>comunicar con transparencia</w:t>
      </w:r>
      <w:r w:rsidRPr="002F541E">
        <w:rPr>
          <w:lang w:val="es-419"/>
        </w:rPr>
        <w:t xml:space="preserve"> las limitaciones y el impacto que estas tienen en los resultados. Ejemplo: el incremento del 53% en 2023 </w:t>
      </w:r>
    </w:p>
    <w:p w14:paraId="1EBEFCBE" w14:textId="77777777" w:rsidR="00CE6956" w:rsidRPr="00CE6956" w:rsidRDefault="00CE6956" w:rsidP="00CE6956">
      <w:pPr>
        <w:spacing w:after="0" w:line="240" w:lineRule="auto"/>
        <w:ind w:left="360"/>
        <w:jc w:val="both"/>
        <w:rPr>
          <w:lang w:val="es-419"/>
        </w:rPr>
      </w:pPr>
    </w:p>
    <w:p w14:paraId="216B8417" w14:textId="77777777" w:rsidR="0063714B" w:rsidRPr="0063714B" w:rsidRDefault="0063714B" w:rsidP="006533E6">
      <w:pPr>
        <w:spacing w:after="0" w:line="240" w:lineRule="auto"/>
        <w:jc w:val="center"/>
        <w:rPr>
          <w:rFonts w:ascii="Cambria" w:hAnsi="Cambria"/>
          <w:b/>
          <w:bCs/>
          <w:lang w:val="es-ES"/>
        </w:rPr>
      </w:pPr>
    </w:p>
    <w:p w14:paraId="3C08DE26" w14:textId="56B35560" w:rsidR="00D823D3" w:rsidRPr="0063714B" w:rsidRDefault="006533E6" w:rsidP="006533E6">
      <w:pPr>
        <w:pStyle w:val="Ttulo1"/>
        <w:numPr>
          <w:ilvl w:val="0"/>
          <w:numId w:val="13"/>
        </w:numPr>
        <w:rPr>
          <w:rFonts w:ascii="Cambria" w:hAnsi="Cambria"/>
          <w:color w:val="000000" w:themeColor="text1"/>
          <w:lang w:val="es-CO"/>
        </w:rPr>
      </w:pPr>
      <w:r w:rsidRPr="0063714B">
        <w:rPr>
          <w:rFonts w:ascii="Cambria" w:hAnsi="Cambria"/>
          <w:color w:val="000000" w:themeColor="text1"/>
          <w:lang w:val="es-CO"/>
        </w:rPr>
        <w:t>Desde el enfoque de riesgo epistémico</w:t>
      </w:r>
    </w:p>
    <w:p w14:paraId="1AC5BDB6" w14:textId="77777777" w:rsidR="00CE6956" w:rsidRDefault="00CE6956" w:rsidP="006533E6">
      <w:pPr>
        <w:jc w:val="both"/>
        <w:rPr>
          <w:rFonts w:ascii="Cambria" w:hAnsi="Cambria"/>
          <w:lang w:val="es-CO"/>
        </w:rPr>
      </w:pPr>
    </w:p>
    <w:p w14:paraId="013B25CF" w14:textId="1CC05D3D" w:rsidR="00D823D3" w:rsidRDefault="00000000" w:rsidP="006533E6">
      <w:pPr>
        <w:jc w:val="both"/>
        <w:rPr>
          <w:lang w:val="es-CO"/>
        </w:rPr>
      </w:pPr>
      <w:r w:rsidRPr="0063714B">
        <w:rPr>
          <w:rFonts w:ascii="Cambria" w:hAnsi="Cambria"/>
          <w:lang w:val="es-CO"/>
        </w:rPr>
        <w:t xml:space="preserve">Por riesgo epistémico </w:t>
      </w:r>
      <w:r w:rsidR="0063714B">
        <w:rPr>
          <w:rFonts w:ascii="Cambria" w:hAnsi="Cambria"/>
          <w:lang w:val="es-CO"/>
        </w:rPr>
        <w:t xml:space="preserve">se </w:t>
      </w:r>
      <w:r w:rsidRPr="0063714B">
        <w:rPr>
          <w:rFonts w:ascii="Cambria" w:hAnsi="Cambria"/>
          <w:lang w:val="es-CO"/>
        </w:rPr>
        <w:t>entiend</w:t>
      </w:r>
      <w:r w:rsidR="0063714B">
        <w:rPr>
          <w:rFonts w:ascii="Cambria" w:hAnsi="Cambria"/>
          <w:lang w:val="es-CO"/>
        </w:rPr>
        <w:t>e</w:t>
      </w:r>
      <w:r w:rsidRPr="0063714B">
        <w:rPr>
          <w:rFonts w:ascii="Cambria" w:hAnsi="Cambria"/>
          <w:lang w:val="es-CO"/>
        </w:rPr>
        <w:t xml:space="preserve"> el riesgo que asumimos cuando tomamos decisiones basadas en conocimiento incompleto o incierto. Incluye,</w:t>
      </w:r>
      <w:r w:rsidRPr="006533E6">
        <w:rPr>
          <w:lang w:val="es-CO"/>
        </w:rPr>
        <w:t xml:space="preserve"> en un sentido clásico, la probabilidad y el costo de aceptar como verdaderas proposiciones que son falsas o de rechazar proposiciones que son verdaderas (errores tipo I y tipo II).</w:t>
      </w:r>
      <w:r w:rsidR="0063714B" w:rsidRPr="0063714B">
        <w:rPr>
          <w:highlight w:val="yellow"/>
          <w:lang w:val="es-CO"/>
        </w:rPr>
        <w:t>PONER CITA</w:t>
      </w:r>
      <w:r w:rsidR="0063714B">
        <w:rPr>
          <w:lang w:val="es-CO"/>
        </w:rPr>
        <w:t xml:space="preserve"> REFERENCIA </w:t>
      </w:r>
      <w:r w:rsidRPr="006533E6">
        <w:rPr>
          <w:lang w:val="es-CO"/>
        </w:rPr>
        <w:t xml:space="preserve"> En un sentido ampliado, el riesgo epistémico también abarca las decisiones que se toman en todas las etapas del diseño metodológico: qué se mide y qué no, cómo se definen los conceptos, qué supuestos se incorporan en los modelos y cómo se comunican los resultados. Es decir, no solo hay riesgo en el “resultado final” (la cifra), sino también en la arquitectura conceptual y técnica que hace posible que esa cifra exista.</w:t>
      </w:r>
      <w:r w:rsidR="0063714B">
        <w:rPr>
          <w:lang w:val="es-CO"/>
        </w:rPr>
        <w:t xml:space="preserve"> </w:t>
      </w:r>
    </w:p>
    <w:p w14:paraId="12404B4E" w14:textId="41FDA76C" w:rsidR="0063714B" w:rsidRPr="006533E6" w:rsidRDefault="0063714B" w:rsidP="0063714B">
      <w:pPr>
        <w:rPr>
          <w:lang w:val="es-CO"/>
        </w:rPr>
      </w:pPr>
      <w:r w:rsidRPr="006533E6">
        <w:rPr>
          <w:lang w:val="es-CO"/>
        </w:rPr>
        <w:t>- Hay un avance importante: se reconoce explícitamente la incertidumbre, las limitaciones operativas, las tensiones del acuerdo metodológico, los cambios estructurales en el sistema productivo y la necesidad de pasar a modelos más sofisticados y a un sistema de indicadores más amplio.</w:t>
      </w:r>
      <w:r w:rsidRPr="006533E6">
        <w:rPr>
          <w:lang w:val="es-CO"/>
        </w:rPr>
        <w:br/>
        <w:t>- Pero persiste un problema de fondo: PPC sigue ocupando el centro simbólico del monitoreo, pese</w:t>
      </w:r>
      <w:r>
        <w:rPr>
          <w:lang w:val="es-CO"/>
        </w:rPr>
        <w:t xml:space="preserve"> </w:t>
      </w:r>
      <w:r w:rsidRPr="006533E6">
        <w:rPr>
          <w:lang w:val="es-CO"/>
        </w:rPr>
        <w:t>a ser un indicador: construido sobre supuestos extremos,</w:t>
      </w:r>
      <w:r w:rsidRPr="006533E6">
        <w:rPr>
          <w:lang w:val="es-CO"/>
        </w:rPr>
        <w:br/>
      </w:r>
      <w:r w:rsidRPr="006533E6">
        <w:rPr>
          <w:lang w:val="es-CO"/>
        </w:rPr>
        <w:lastRenderedPageBreak/>
        <w:t xml:space="preserve">  con incertidumbre acumulada en varios niveles,</w:t>
      </w:r>
      <w:r w:rsidRPr="006533E6">
        <w:rPr>
          <w:lang w:val="es-CO"/>
        </w:rPr>
        <w:br/>
        <w:t xml:space="preserve">  y muy sensible a decisiones de modelado que no son políticamente neutras.</w:t>
      </w:r>
    </w:p>
    <w:p w14:paraId="685895B4" w14:textId="77777777" w:rsidR="0063714B" w:rsidRPr="006533E6" w:rsidRDefault="0063714B" w:rsidP="0063714B">
      <w:pPr>
        <w:rPr>
          <w:lang w:val="es-CO"/>
        </w:rPr>
      </w:pPr>
      <w:r>
        <w:rPr>
          <w:lang w:val="es-CO"/>
        </w:rPr>
        <w:t>-</w:t>
      </w:r>
      <w:r w:rsidRPr="006533E6">
        <w:rPr>
          <w:lang w:val="es-CO"/>
        </w:rPr>
        <w:t>Desde una perspectiva de riesgo epistémico y justicia en la gobernanza de las drogas, el paso que falta es explícito:</w:t>
      </w:r>
      <w:r>
        <w:rPr>
          <w:lang w:val="es-CO"/>
        </w:rPr>
        <w:t xml:space="preserve"> </w:t>
      </w:r>
      <w:r w:rsidRPr="006533E6">
        <w:rPr>
          <w:lang w:val="es-CO"/>
        </w:rPr>
        <w:t>No basta con mejorar cómo se construye PPC; hay que redefinir para qué se usa, qué peso tiene frente a otros indicadores y hasta qué punto es legítimo seguir tratándolo como la “medida” de la realidad de la cocaína en Colombia.</w:t>
      </w:r>
      <w:r w:rsidRPr="006533E6">
        <w:rPr>
          <w:lang w:val="es-CO"/>
        </w:rPr>
        <w:br/>
      </w:r>
      <w:r w:rsidRPr="006533E6">
        <w:rPr>
          <w:lang w:val="es-CO"/>
        </w:rPr>
        <w:br/>
        <w:t>El capítulo se apoya en los marcos de calidad estadística (NQAF, CNBP) para sostener que:</w:t>
      </w:r>
    </w:p>
    <w:p w14:paraId="2973FC19" w14:textId="77777777" w:rsidR="0063714B" w:rsidRPr="006533E6" w:rsidRDefault="0063714B" w:rsidP="0063714B">
      <w:pPr>
        <w:rPr>
          <w:lang w:val="es-CO"/>
        </w:rPr>
      </w:pPr>
      <w:r w:rsidRPr="006533E6">
        <w:rPr>
          <w:lang w:val="es-CO"/>
        </w:rPr>
        <w:t>- No se puede observar todo, siempre, en todas partes.</w:t>
      </w:r>
      <w:r w:rsidRPr="006533E6">
        <w:rPr>
          <w:lang w:val="es-CO"/>
        </w:rPr>
        <w:br/>
        <w:t>- Lo importante es gestionar las limitaciones, documentarlas y usar “la mejor información disponible”.</w:t>
      </w:r>
    </w:p>
    <w:p w14:paraId="619B1F86" w14:textId="77777777" w:rsidR="0063714B" w:rsidRPr="006533E6" w:rsidRDefault="0063714B" w:rsidP="0063714B">
      <w:pPr>
        <w:rPr>
          <w:lang w:val="es-CO"/>
        </w:rPr>
      </w:pPr>
      <w:r w:rsidRPr="006533E6">
        <w:rPr>
          <w:lang w:val="es-CO"/>
        </w:rPr>
        <w:t>Eso es razonable desde la estadística oficial, pero desde la mirada de riesgo epistémico faltan dos cosas:</w:t>
      </w:r>
    </w:p>
    <w:p w14:paraId="17154CB8" w14:textId="62BF582B" w:rsidR="0063714B" w:rsidRPr="006533E6" w:rsidRDefault="0063714B" w:rsidP="0063714B">
      <w:pPr>
        <w:rPr>
          <w:lang w:val="es-CO"/>
        </w:rPr>
      </w:pPr>
      <w:r>
        <w:rPr>
          <w:lang w:val="es-CO"/>
        </w:rPr>
        <w:t>A)</w:t>
      </w:r>
      <w:r w:rsidRPr="006533E6">
        <w:rPr>
          <w:lang w:val="es-CO"/>
        </w:rPr>
        <w:t>. Cuánto riesgo estamos asumiendo:</w:t>
      </w:r>
      <w:r w:rsidRPr="006533E6">
        <w:rPr>
          <w:lang w:val="es-CO"/>
        </w:rPr>
        <w:br/>
        <w:t xml:space="preserve">   Se reconoce que hay incertidumbre, pero no se cuantifica de manera sistemática su impacto en PPC como indicador compuesto. Se dice que los componentes tienen márgenes de error, que el rango PPC se ha ampliado, que hay límites inferior y superior, etc., pero no se traduce eso en una reflexión normativa del tipo:</w:t>
      </w:r>
      <w:r w:rsidRPr="006533E6">
        <w:rPr>
          <w:lang w:val="es-CO"/>
        </w:rPr>
        <w:br/>
        <w:t xml:space="preserve">   “¿Qué implica, para la política y para la cooperación internacional, trabajar con un indicador cuyo intervalo de confianza es cada vez más ancho?”</w:t>
      </w:r>
    </w:p>
    <w:p w14:paraId="272CFE0B" w14:textId="321DF9AF" w:rsidR="0063714B" w:rsidRPr="006533E6" w:rsidRDefault="0063714B" w:rsidP="0063714B">
      <w:pPr>
        <w:rPr>
          <w:lang w:val="es-CO"/>
        </w:rPr>
      </w:pPr>
      <w:r>
        <w:rPr>
          <w:lang w:val="es-CO"/>
        </w:rPr>
        <w:t>B)</w:t>
      </w:r>
      <w:r w:rsidRPr="006533E6">
        <w:rPr>
          <w:lang w:val="es-CO"/>
        </w:rPr>
        <w:t>. Qué errores son más costosos:</w:t>
      </w:r>
      <w:r w:rsidRPr="006533E6">
        <w:rPr>
          <w:lang w:val="es-CO"/>
        </w:rPr>
        <w:br/>
        <w:t xml:space="preserve">   El texto trata la incertidumbre como un problema técnico general, pero no entra en la discusión clave de la teoría de decisión:</w:t>
      </w:r>
      <w:r w:rsidRPr="006533E6">
        <w:rPr>
          <w:lang w:val="es-CO"/>
        </w:rPr>
        <w:br/>
        <w:t xml:space="preserve">   - ¿Es más grave sobreestimar PPC (y, por tanto, </w:t>
      </w:r>
      <w:proofErr w:type="spellStart"/>
      <w:r w:rsidRPr="006533E6">
        <w:rPr>
          <w:lang w:val="es-CO"/>
        </w:rPr>
        <w:t>sobrediagnosticar</w:t>
      </w:r>
      <w:proofErr w:type="spellEnd"/>
      <w:r w:rsidRPr="006533E6">
        <w:rPr>
          <w:lang w:val="es-CO"/>
        </w:rPr>
        <w:t xml:space="preserve"> la oferta) o subestimarla?</w:t>
      </w:r>
      <w:r w:rsidRPr="006533E6">
        <w:rPr>
          <w:lang w:val="es-CO"/>
        </w:rPr>
        <w:br/>
        <w:t xml:space="preserve">   - ¿Para quién es más grave cada tipo de error: para el Estado colombiano, para la UE, para las comunidades rurales?</w:t>
      </w:r>
      <w:r w:rsidRPr="006533E6">
        <w:rPr>
          <w:lang w:val="es-CO"/>
        </w:rPr>
        <w:br/>
      </w:r>
      <w:r w:rsidRPr="006533E6">
        <w:rPr>
          <w:lang w:val="es-CO"/>
        </w:rPr>
        <w:br/>
        <w:t>Sin esa discusión, el discurso de “calidad estadística” tiende a quedarse en lo procedimental, sin abordar el costo diferencial de los errores que son propios de un indicador tan político como PPC.</w:t>
      </w:r>
    </w:p>
    <w:p w14:paraId="182B4618" w14:textId="2FC698BE" w:rsidR="00D823D3" w:rsidRDefault="00000000" w:rsidP="006533E6">
      <w:pPr>
        <w:pStyle w:val="Ttulo2"/>
        <w:jc w:val="both"/>
        <w:rPr>
          <w:rFonts w:ascii="Cambria" w:hAnsi="Cambria"/>
          <w:color w:val="000000" w:themeColor="text1"/>
          <w:lang w:val="es-CO"/>
        </w:rPr>
      </w:pPr>
      <w:r w:rsidRPr="0063714B">
        <w:rPr>
          <w:rFonts w:ascii="Cambria" w:hAnsi="Cambria"/>
          <w:color w:val="000000" w:themeColor="text1"/>
          <w:lang w:val="es-CO"/>
        </w:rPr>
        <w:t>La definición de PPC: un máximo hipotético que se usa como si fuera realidad</w:t>
      </w:r>
    </w:p>
    <w:p w14:paraId="09D6D322" w14:textId="77777777" w:rsidR="0063714B" w:rsidRPr="0063714B" w:rsidRDefault="0063714B" w:rsidP="0063714B">
      <w:pPr>
        <w:rPr>
          <w:lang w:val="es-CO"/>
        </w:rPr>
      </w:pPr>
    </w:p>
    <w:p w14:paraId="6E199FA9" w14:textId="77777777" w:rsidR="0063714B" w:rsidRDefault="0063714B" w:rsidP="0063714B">
      <w:pPr>
        <w:jc w:val="both"/>
        <w:rPr>
          <w:lang w:val="es-CO"/>
        </w:rPr>
      </w:pPr>
      <w:r>
        <w:rPr>
          <w:lang w:val="es-CO"/>
        </w:rPr>
        <w:t xml:space="preserve">SE </w:t>
      </w:r>
      <w:r w:rsidRPr="006533E6">
        <w:rPr>
          <w:lang w:val="es-CO"/>
        </w:rPr>
        <w:t>define PPC como: la cantidad de cocaína, expresada como clorhidrato de cocaína al 100 % de pureza, que se produciría en un periodo si toda la hoja de coca en el país se transformara.</w:t>
      </w:r>
    </w:p>
    <w:p w14:paraId="4D71B324" w14:textId="64187F9F" w:rsidR="00D823D3" w:rsidRPr="006533E6" w:rsidRDefault="00000000" w:rsidP="006533E6">
      <w:pPr>
        <w:jc w:val="both"/>
        <w:rPr>
          <w:lang w:val="es-CO"/>
        </w:rPr>
      </w:pPr>
      <w:r w:rsidRPr="006533E6">
        <w:rPr>
          <w:lang w:val="es-CO"/>
        </w:rPr>
        <w:t>Si el indicador es, por diseño, un máximo hipotético, ¿es legítimo seguir tratándolo –discursiva y políticamente– como “la producción de cocaína en Colombia”?</w:t>
      </w:r>
      <w:r w:rsidRPr="006533E6">
        <w:rPr>
          <w:lang w:val="es-CO"/>
        </w:rPr>
        <w:br/>
      </w:r>
      <w:r w:rsidRPr="006533E6">
        <w:rPr>
          <w:lang w:val="es-CO"/>
        </w:rPr>
        <w:lastRenderedPageBreak/>
        <w:br/>
        <w:t>Ahí está el corazón del riesgo epistémico ampliado: la frontera entre lo que el modelo realmente significa y lo que los actores políticos leen en él.</w:t>
      </w:r>
    </w:p>
    <w:p w14:paraId="1DF24B77" w14:textId="77777777" w:rsidR="00D823D3" w:rsidRPr="006533E6" w:rsidRDefault="00000000" w:rsidP="006533E6">
      <w:pPr>
        <w:pStyle w:val="Ttulo2"/>
        <w:jc w:val="both"/>
        <w:rPr>
          <w:lang w:val="es-CO"/>
        </w:rPr>
      </w:pPr>
      <w:r w:rsidRPr="006533E6">
        <w:rPr>
          <w:lang w:val="es-CO"/>
        </w:rPr>
        <w:t>4. El acuerdo de “mantener el último dato”: un problema de imputación con consecuencias políticas</w:t>
      </w:r>
    </w:p>
    <w:p w14:paraId="7345D078" w14:textId="77777777" w:rsidR="00D823D3" w:rsidRPr="006533E6" w:rsidRDefault="00000000" w:rsidP="006533E6">
      <w:pPr>
        <w:jc w:val="both"/>
        <w:rPr>
          <w:lang w:val="es-CO"/>
        </w:rPr>
      </w:pPr>
      <w:r w:rsidRPr="006533E6">
        <w:rPr>
          <w:lang w:val="es-CO"/>
        </w:rPr>
        <w:t>El texto dedica un largo tramo a justificar el acuerdo metodológico de mantener el último rendimiento medido en los años sin ENPAC, y lo alinea con prácticas comunes en DNP, DANE, Banco de la República, etc.</w:t>
      </w:r>
    </w:p>
    <w:p w14:paraId="585B8D4B" w14:textId="77777777" w:rsidR="00D823D3" w:rsidRPr="006533E6" w:rsidRDefault="00000000" w:rsidP="006533E6">
      <w:pPr>
        <w:jc w:val="both"/>
        <w:rPr>
          <w:lang w:val="es-CO"/>
        </w:rPr>
      </w:pPr>
      <w:r w:rsidRPr="006533E6">
        <w:rPr>
          <w:lang w:val="es-CO"/>
        </w:rPr>
        <w:t>Puntos fuertes:</w:t>
      </w:r>
    </w:p>
    <w:p w14:paraId="4B486045" w14:textId="77777777" w:rsidR="00D823D3" w:rsidRPr="006533E6" w:rsidRDefault="00000000" w:rsidP="006533E6">
      <w:pPr>
        <w:jc w:val="both"/>
        <w:rPr>
          <w:lang w:val="es-CO"/>
        </w:rPr>
      </w:pPr>
      <w:r w:rsidRPr="006533E6">
        <w:rPr>
          <w:lang w:val="es-CO"/>
        </w:rPr>
        <w:t>- Se reconoce con franqueza que medir rendimiento todos los años en todas las regiones es inviable financiera y operativamente.</w:t>
      </w:r>
      <w:r w:rsidRPr="006533E6">
        <w:rPr>
          <w:lang w:val="es-CO"/>
        </w:rPr>
        <w:br/>
        <w:t>- Se identifican limitaciones del acuerdo: no captura cambios entre mediciones, suaviza transformaciones rápidas, puede retrasar la detección de cambios estructurales.</w:t>
      </w:r>
    </w:p>
    <w:p w14:paraId="32A211BB" w14:textId="77777777" w:rsidR="00D823D3" w:rsidRPr="006533E6" w:rsidRDefault="00000000" w:rsidP="006533E6">
      <w:pPr>
        <w:jc w:val="both"/>
        <w:rPr>
          <w:lang w:val="es-CO"/>
        </w:rPr>
      </w:pPr>
      <w:r w:rsidRPr="006533E6">
        <w:rPr>
          <w:lang w:val="es-CO"/>
        </w:rPr>
        <w:t>Desde el enfoque que estás usando, el comentario sería:</w:t>
      </w:r>
    </w:p>
    <w:p w14:paraId="0E8F0489" w14:textId="77777777" w:rsidR="00D823D3" w:rsidRPr="006533E6" w:rsidRDefault="00000000" w:rsidP="006533E6">
      <w:pPr>
        <w:jc w:val="both"/>
        <w:rPr>
          <w:lang w:val="es-CO"/>
        </w:rPr>
      </w:pPr>
      <w:r w:rsidRPr="006533E6">
        <w:rPr>
          <w:lang w:val="es-CO"/>
        </w:rPr>
        <w:t>- El problema no es solo “técnico”; es epistémico y político:</w:t>
      </w:r>
      <w:r w:rsidRPr="006533E6">
        <w:rPr>
          <w:lang w:val="es-CO"/>
        </w:rPr>
        <w:br/>
        <w:t xml:space="preserve">  - Mantener el último dato tiende a producir una serie de PPC que puede </w:t>
      </w:r>
      <w:proofErr w:type="spellStart"/>
      <w:r w:rsidRPr="006533E6">
        <w:rPr>
          <w:lang w:val="es-CO"/>
        </w:rPr>
        <w:t>subrepresentar</w:t>
      </w:r>
      <w:proofErr w:type="spellEnd"/>
      <w:r w:rsidRPr="006533E6">
        <w:rPr>
          <w:lang w:val="es-CO"/>
        </w:rPr>
        <w:t xml:space="preserve"> cambios rápidos en productividad (por ejemplo, en enclaves altamente tecnificados).</w:t>
      </w:r>
      <w:r w:rsidRPr="006533E6">
        <w:rPr>
          <w:lang w:val="es-CO"/>
        </w:rPr>
        <w:br/>
        <w:t xml:space="preserve">  - Esa “suavización” puede jugar a favor o en contra de ciertas narrativas sobre “picos” o “explosiones” de producción, dependiendo de cómo se combine con los cambios de área.</w:t>
      </w:r>
      <w:r w:rsidRPr="006533E6">
        <w:rPr>
          <w:lang w:val="es-CO"/>
        </w:rPr>
        <w:br/>
      </w:r>
      <w:r w:rsidRPr="006533E6">
        <w:rPr>
          <w:lang w:val="es-CO"/>
        </w:rPr>
        <w:br/>
        <w:t xml:space="preserve">- El propio capítulo muestra que hay múltiples formas de representar la incertidumbre entre mediciones (lineal, log-lineal, polinómico, </w:t>
      </w:r>
      <w:proofErr w:type="spellStart"/>
      <w:r w:rsidRPr="006533E6">
        <w:rPr>
          <w:lang w:val="es-CO"/>
        </w:rPr>
        <w:t>spline</w:t>
      </w:r>
      <w:proofErr w:type="spellEnd"/>
      <w:r w:rsidRPr="006533E6">
        <w:rPr>
          <w:lang w:val="es-CO"/>
        </w:rPr>
        <w:t>, etc.), y reconoce que ninguna está empíricamente verificada y que algunas llevan a resultados absurdos (rendimientos negativos).</w:t>
      </w:r>
      <w:r w:rsidRPr="006533E6">
        <w:rPr>
          <w:lang w:val="es-CO"/>
        </w:rPr>
        <w:br/>
      </w:r>
      <w:r w:rsidRPr="006533E6">
        <w:rPr>
          <w:lang w:val="es-CO"/>
        </w:rPr>
        <w:br/>
        <w:t>Eso es honesto y útil, pero confirma otro punto clave: con la misma información observada, distintos métodos pueden producir historias numéricas muy diferentes. Si PPC sigue ocupando un lugar central, esa indeterminación no es solo técnica; es un riesgo de que la elección del método incline la lectura política del fenómeno.</w:t>
      </w:r>
    </w:p>
    <w:p w14:paraId="1FADA7D4" w14:textId="77777777" w:rsidR="00D823D3" w:rsidRPr="006533E6" w:rsidRDefault="00000000" w:rsidP="006533E6">
      <w:pPr>
        <w:pStyle w:val="Ttulo2"/>
        <w:jc w:val="both"/>
        <w:rPr>
          <w:lang w:val="es-CO"/>
        </w:rPr>
      </w:pPr>
      <w:r w:rsidRPr="006533E6">
        <w:rPr>
          <w:lang w:val="es-CO"/>
        </w:rPr>
        <w:t>5. Reconocimiento de cambios estructurales en el sistema productivo: un punto muy fuerte del capítulo</w:t>
      </w:r>
    </w:p>
    <w:p w14:paraId="640C425C" w14:textId="5DBBA9BF" w:rsidR="00D823D3" w:rsidRPr="006533E6" w:rsidRDefault="00000000" w:rsidP="006533E6">
      <w:pPr>
        <w:jc w:val="both"/>
        <w:rPr>
          <w:lang w:val="es-CO"/>
        </w:rPr>
      </w:pPr>
      <w:r w:rsidRPr="006533E6">
        <w:rPr>
          <w:lang w:val="es-CO"/>
        </w:rPr>
        <w:t>La sección sobre enclaves productivos, tecnificación agronómica y cambios en la especialización de los PAC es probablemente de lo más potente del capítulo</w:t>
      </w:r>
      <w:r w:rsidR="005B0299">
        <w:rPr>
          <w:lang w:val="es-CO"/>
        </w:rPr>
        <w:t xml:space="preserve"> por que m</w:t>
      </w:r>
      <w:r w:rsidRPr="006533E6">
        <w:rPr>
          <w:lang w:val="es-CO"/>
        </w:rPr>
        <w:t>uestra:</w:t>
      </w:r>
    </w:p>
    <w:p w14:paraId="455AB52A" w14:textId="77777777" w:rsidR="00D823D3" w:rsidRPr="006533E6" w:rsidRDefault="00000000" w:rsidP="006533E6">
      <w:pPr>
        <w:jc w:val="both"/>
        <w:rPr>
          <w:lang w:val="es-CO"/>
        </w:rPr>
      </w:pPr>
      <w:r w:rsidRPr="006533E6">
        <w:rPr>
          <w:lang w:val="es-CO"/>
        </w:rPr>
        <w:t>- Aumentos importantes en los rendimientos en enclaves como Catatumbo, Putumayo–Caquetá, Pacífico.</w:t>
      </w:r>
      <w:r w:rsidRPr="006533E6">
        <w:rPr>
          <w:lang w:val="es-CO"/>
        </w:rPr>
        <w:br/>
        <w:t>- Uso intensivo de fertilización, plaguicidas, fungicidas, infraestructura de gran capacidad, sustancias controladas, pruebas de calidad, etc.</w:t>
      </w:r>
    </w:p>
    <w:p w14:paraId="3DCF709A" w14:textId="77777777" w:rsidR="00D823D3" w:rsidRPr="006533E6" w:rsidRDefault="00000000" w:rsidP="006533E6">
      <w:pPr>
        <w:jc w:val="both"/>
        <w:rPr>
          <w:lang w:val="es-CO"/>
        </w:rPr>
      </w:pPr>
      <w:r w:rsidRPr="006533E6">
        <w:rPr>
          <w:lang w:val="es-CO"/>
        </w:rPr>
        <w:lastRenderedPageBreak/>
        <w:t>- Esto valida la idea de que el sistema coca–cocaína se está reconfigurando hacia nodos de alta eficiencia, más cercanos a una lógica agroindustrial que de subsistencia.</w:t>
      </w:r>
      <w:r w:rsidRPr="006533E6">
        <w:rPr>
          <w:lang w:val="es-CO"/>
        </w:rPr>
        <w:br/>
        <w:t>- Al mismo tiempo, tensiona fuertemente el supuesto de estabilidad del rendimiento entre mediciones y el uso de viejos factores de extracción/conversión.</w:t>
      </w:r>
    </w:p>
    <w:p w14:paraId="5A1F9697" w14:textId="77777777" w:rsidR="00D823D3" w:rsidRPr="006533E6" w:rsidRDefault="00000000" w:rsidP="006533E6">
      <w:pPr>
        <w:jc w:val="both"/>
        <w:rPr>
          <w:lang w:val="es-CO"/>
        </w:rPr>
      </w:pPr>
      <w:r w:rsidRPr="006533E6">
        <w:rPr>
          <w:lang w:val="es-CO"/>
        </w:rPr>
        <w:t>El propio capítulo reconoce que:</w:t>
      </w:r>
    </w:p>
    <w:p w14:paraId="08E1061C" w14:textId="77777777" w:rsidR="00D823D3" w:rsidRPr="006533E6" w:rsidRDefault="00000000" w:rsidP="006533E6">
      <w:pPr>
        <w:jc w:val="both"/>
        <w:rPr>
          <w:lang w:val="es-CO"/>
        </w:rPr>
      </w:pPr>
      <w:r w:rsidRPr="006533E6">
        <w:rPr>
          <w:lang w:val="es-CO"/>
        </w:rPr>
        <w:t>- Los cambios productivos pueden estar yendo más rápido que la capacidad del modelo vigente para capturarlos.</w:t>
      </w:r>
      <w:r w:rsidRPr="006533E6">
        <w:rPr>
          <w:lang w:val="es-CO"/>
        </w:rPr>
        <w:br/>
        <w:t>- Los factores de extracción y conversión, basados en estudios viejos, son una oportunidad de mejora prioritaria.</w:t>
      </w:r>
    </w:p>
    <w:p w14:paraId="3BB41F30" w14:textId="77777777" w:rsidR="00D823D3" w:rsidRDefault="00000000" w:rsidP="006533E6">
      <w:pPr>
        <w:jc w:val="both"/>
        <w:rPr>
          <w:lang w:val="es-CO"/>
        </w:rPr>
      </w:pPr>
      <w:r w:rsidRPr="006533E6">
        <w:rPr>
          <w:lang w:val="es-CO"/>
        </w:rPr>
        <w:t>Eso es consistente con la intuición de que PPC, tal como está hoy, se construye sobre parámetros que no necesariamente reflejan la economía actual del negocio. Desde el riesgo epistémico, eso implica que el indicador puede estar mezclando tiempos distintos en una sola serie, como si todo fuera comparable sin fricciones.</w:t>
      </w:r>
    </w:p>
    <w:p w14:paraId="48A08173" w14:textId="77777777" w:rsidR="00A83D9F" w:rsidRPr="00A83D9F" w:rsidRDefault="00A83D9F" w:rsidP="00A83D9F">
      <w:pPr>
        <w:spacing w:after="0" w:line="240" w:lineRule="auto"/>
        <w:jc w:val="both"/>
        <w:rPr>
          <w:lang w:val="es-419"/>
        </w:rPr>
      </w:pPr>
      <w:r w:rsidRPr="00A83D9F">
        <w:rPr>
          <w:lang w:val="es-419"/>
        </w:rPr>
        <w:t xml:space="preserve">Se observan contradicciones entre afirmar que los indicadores </w:t>
      </w:r>
      <w:r w:rsidRPr="00A83D9F">
        <w:rPr>
          <w:i/>
          <w:iCs/>
          <w:lang w:val="es-419"/>
        </w:rPr>
        <w:t>“no fueron diseñados para evaluar política pública”</w:t>
      </w:r>
      <w:r w:rsidRPr="00A83D9F">
        <w:rPr>
          <w:lang w:val="es-419"/>
        </w:rPr>
        <w:t xml:space="preserve"> y luego sugerir que se usan para seguimiento. Se solicita aclarar esta contradicción y explicar por qué no son aptos para evaluación (ej. dependencia de presupuesto, periodicidad irregular).</w:t>
      </w:r>
    </w:p>
    <w:p w14:paraId="3FF1B6C2" w14:textId="77777777" w:rsidR="00A83D9F" w:rsidRDefault="00A83D9F" w:rsidP="006533E6">
      <w:pPr>
        <w:jc w:val="both"/>
        <w:rPr>
          <w:lang w:val="es-CO"/>
        </w:rPr>
      </w:pPr>
    </w:p>
    <w:p w14:paraId="2481971A" w14:textId="224F6910" w:rsidR="00A83D9F" w:rsidRDefault="00A83D9F" w:rsidP="006533E6">
      <w:pPr>
        <w:jc w:val="both"/>
        <w:rPr>
          <w:lang w:val="es-CO"/>
        </w:rPr>
      </w:pPr>
      <w:r>
        <w:rPr>
          <w:lang w:val="es-CO"/>
        </w:rPr>
        <w:t>Además:</w:t>
      </w:r>
    </w:p>
    <w:p w14:paraId="037A5C2B" w14:textId="77777777" w:rsidR="00A83D9F" w:rsidRDefault="00A83D9F" w:rsidP="00A83D9F">
      <w:pPr>
        <w:pStyle w:val="Prrafodelista"/>
        <w:numPr>
          <w:ilvl w:val="0"/>
          <w:numId w:val="12"/>
        </w:numPr>
        <w:spacing w:after="0" w:line="240" w:lineRule="auto"/>
        <w:jc w:val="both"/>
        <w:rPr>
          <w:lang w:val="es-419"/>
        </w:rPr>
      </w:pPr>
      <w:r w:rsidRPr="00B4471B">
        <w:rPr>
          <w:lang w:val="es-419"/>
        </w:rPr>
        <w:t>Se solicita explicar los supuestos estadísticos del muestreo probabilístico (marco muestral, diseño por dominios, error de muestreo) y sus implicaciones.</w:t>
      </w:r>
    </w:p>
    <w:p w14:paraId="082E9AFE" w14:textId="77777777" w:rsidR="00A83D9F" w:rsidRPr="00B4471B" w:rsidRDefault="00A83D9F" w:rsidP="00A83D9F">
      <w:pPr>
        <w:pStyle w:val="Prrafodelista"/>
        <w:spacing w:after="0" w:line="240" w:lineRule="auto"/>
        <w:ind w:left="764"/>
        <w:jc w:val="both"/>
        <w:rPr>
          <w:lang w:val="es-419"/>
        </w:rPr>
      </w:pPr>
    </w:p>
    <w:p w14:paraId="7EFCACAE" w14:textId="77777777" w:rsidR="00A83D9F" w:rsidRDefault="00A83D9F" w:rsidP="00A83D9F">
      <w:pPr>
        <w:pStyle w:val="Prrafodelista"/>
        <w:numPr>
          <w:ilvl w:val="0"/>
          <w:numId w:val="12"/>
        </w:numPr>
        <w:spacing w:after="0" w:line="240" w:lineRule="auto"/>
        <w:jc w:val="both"/>
        <w:rPr>
          <w:lang w:val="es-419"/>
        </w:rPr>
      </w:pPr>
      <w:r w:rsidRPr="00B4471B">
        <w:rPr>
          <w:lang w:val="es-419"/>
        </w:rPr>
        <w:t>Aclarar excepciones como la región Amazonía (valor tomado por proximidad geográfica).</w:t>
      </w:r>
    </w:p>
    <w:p w14:paraId="3E798812" w14:textId="77777777" w:rsidR="00A83D9F" w:rsidRPr="00B4471B" w:rsidRDefault="00A83D9F" w:rsidP="00A83D9F">
      <w:pPr>
        <w:spacing w:after="0" w:line="240" w:lineRule="auto"/>
        <w:jc w:val="both"/>
        <w:rPr>
          <w:lang w:val="es-419"/>
        </w:rPr>
      </w:pPr>
    </w:p>
    <w:p w14:paraId="5765F3ED" w14:textId="77777777" w:rsidR="00A83D9F" w:rsidRDefault="00A83D9F" w:rsidP="00A83D9F">
      <w:pPr>
        <w:pStyle w:val="Prrafodelista"/>
        <w:numPr>
          <w:ilvl w:val="0"/>
          <w:numId w:val="12"/>
        </w:numPr>
        <w:spacing w:after="0" w:line="240" w:lineRule="auto"/>
        <w:jc w:val="both"/>
        <w:rPr>
          <w:lang w:val="es-419"/>
        </w:rPr>
      </w:pPr>
      <w:r w:rsidRPr="00B4471B">
        <w:rPr>
          <w:lang w:val="es-419"/>
        </w:rPr>
        <w:t>Indicar quién valida los factores de extracción y conversión y cómo se hace esa validación.</w:t>
      </w:r>
    </w:p>
    <w:p w14:paraId="696D09BB" w14:textId="77777777" w:rsidR="00CE6956" w:rsidRDefault="00CE6956" w:rsidP="006533E6">
      <w:pPr>
        <w:jc w:val="both"/>
        <w:rPr>
          <w:b/>
          <w:bCs/>
          <w:color w:val="000000" w:themeColor="text1"/>
          <w:lang w:val="es-CO"/>
        </w:rPr>
      </w:pPr>
    </w:p>
    <w:p w14:paraId="09B476B5" w14:textId="77777777" w:rsidR="00CE6956" w:rsidRDefault="00CE6956" w:rsidP="006533E6">
      <w:pPr>
        <w:jc w:val="both"/>
        <w:rPr>
          <w:b/>
          <w:bCs/>
          <w:color w:val="000000" w:themeColor="text1"/>
          <w:lang w:val="es-CO"/>
        </w:rPr>
      </w:pPr>
    </w:p>
    <w:p w14:paraId="108CB2DD" w14:textId="6B3AA397" w:rsidR="00A83D9F" w:rsidRDefault="00CE6956" w:rsidP="006533E6">
      <w:pPr>
        <w:jc w:val="both"/>
        <w:rPr>
          <w:b/>
          <w:bCs/>
          <w:color w:val="000000" w:themeColor="text1"/>
          <w:lang w:val="es-CO"/>
        </w:rPr>
      </w:pPr>
      <w:r>
        <w:rPr>
          <w:b/>
          <w:bCs/>
          <w:color w:val="000000" w:themeColor="text1"/>
          <w:lang w:val="es-CO"/>
        </w:rPr>
        <w:t>M</w:t>
      </w:r>
      <w:r w:rsidR="00A83D9F" w:rsidRPr="00A83D9F">
        <w:rPr>
          <w:b/>
          <w:bCs/>
          <w:color w:val="000000" w:themeColor="text1"/>
          <w:lang w:val="es-CO"/>
        </w:rPr>
        <w:t>etodológicas</w:t>
      </w:r>
    </w:p>
    <w:p w14:paraId="52F3D348" w14:textId="13AE0D6A" w:rsidR="00CE6956" w:rsidRPr="00CE6956" w:rsidRDefault="00CE6956" w:rsidP="006533E6">
      <w:pPr>
        <w:jc w:val="both"/>
        <w:rPr>
          <w:color w:val="000000" w:themeColor="text1"/>
          <w:lang w:val="es-CO"/>
        </w:rPr>
      </w:pPr>
      <w:r w:rsidRPr="00CE6956">
        <w:rPr>
          <w:color w:val="000000" w:themeColor="text1"/>
          <w:lang w:val="es-CO"/>
        </w:rPr>
        <w:t>Acuerdo metodológico</w:t>
      </w:r>
    </w:p>
    <w:p w14:paraId="4828C4D9" w14:textId="77777777" w:rsidR="00CE6956" w:rsidRPr="00510782" w:rsidRDefault="00CE6956" w:rsidP="00CE6956">
      <w:pPr>
        <w:pStyle w:val="Prrafodelista"/>
        <w:numPr>
          <w:ilvl w:val="0"/>
          <w:numId w:val="12"/>
        </w:numPr>
        <w:spacing w:after="0" w:line="240" w:lineRule="auto"/>
        <w:jc w:val="both"/>
        <w:rPr>
          <w:lang w:val="es-419"/>
        </w:rPr>
      </w:pPr>
      <w:r w:rsidRPr="00510782">
        <w:rPr>
          <w:lang w:val="es-419"/>
        </w:rPr>
        <w:t>El principio de mantener el último dato disponible introduce problemas:</w:t>
      </w:r>
    </w:p>
    <w:p w14:paraId="5F149FB5" w14:textId="77777777" w:rsidR="00CE6956" w:rsidRPr="00510782" w:rsidRDefault="00CE6956" w:rsidP="00CE6956">
      <w:pPr>
        <w:pStyle w:val="Prrafodelista"/>
        <w:numPr>
          <w:ilvl w:val="1"/>
          <w:numId w:val="12"/>
        </w:numPr>
        <w:spacing w:after="0" w:line="240" w:lineRule="auto"/>
        <w:jc w:val="both"/>
        <w:rPr>
          <w:lang w:val="es-419"/>
        </w:rPr>
      </w:pPr>
      <w:r w:rsidRPr="00510782">
        <w:rPr>
          <w:lang w:val="es-419"/>
        </w:rPr>
        <w:t>No refleja cambios reales entre mediciones.</w:t>
      </w:r>
    </w:p>
    <w:p w14:paraId="353FCBA8" w14:textId="77777777" w:rsidR="00CE6956" w:rsidRPr="00510782" w:rsidRDefault="00CE6956" w:rsidP="00CE6956">
      <w:pPr>
        <w:pStyle w:val="Prrafodelista"/>
        <w:numPr>
          <w:ilvl w:val="1"/>
          <w:numId w:val="12"/>
        </w:numPr>
        <w:spacing w:after="0" w:line="240" w:lineRule="auto"/>
        <w:jc w:val="both"/>
        <w:rPr>
          <w:lang w:val="es-419"/>
        </w:rPr>
      </w:pPr>
      <w:r w:rsidRPr="00510782">
        <w:rPr>
          <w:lang w:val="es-419"/>
        </w:rPr>
        <w:t>Puede castigar al gobierno que actualiza datos.</w:t>
      </w:r>
    </w:p>
    <w:p w14:paraId="6B74AAE5" w14:textId="77777777" w:rsidR="00CE6956" w:rsidRPr="00510782" w:rsidRDefault="00CE6956" w:rsidP="00CE6956">
      <w:pPr>
        <w:pStyle w:val="Prrafodelista"/>
        <w:numPr>
          <w:ilvl w:val="0"/>
          <w:numId w:val="12"/>
        </w:numPr>
        <w:spacing w:after="0" w:line="240" w:lineRule="auto"/>
        <w:jc w:val="both"/>
        <w:rPr>
          <w:lang w:val="es-419"/>
        </w:rPr>
      </w:pPr>
      <w:r w:rsidRPr="00510782">
        <w:rPr>
          <w:lang w:val="es-419"/>
        </w:rPr>
        <w:t>Genera estimaciones agregadas con periodos desfasados (ej. mezclar lotes de 2023 con 2021).</w:t>
      </w:r>
    </w:p>
    <w:p w14:paraId="75CCFC3D" w14:textId="77777777" w:rsidR="00CE6956" w:rsidRPr="00510782" w:rsidRDefault="00CE6956" w:rsidP="00CE6956">
      <w:pPr>
        <w:pStyle w:val="Prrafodelista"/>
        <w:numPr>
          <w:ilvl w:val="0"/>
          <w:numId w:val="12"/>
        </w:numPr>
        <w:spacing w:after="0" w:line="240" w:lineRule="auto"/>
        <w:jc w:val="both"/>
        <w:rPr>
          <w:lang w:val="es-419"/>
        </w:rPr>
      </w:pPr>
      <w:r w:rsidRPr="00510782">
        <w:rPr>
          <w:lang w:val="es-419"/>
        </w:rPr>
        <w:t xml:space="preserve">Se solicita indicar que el acuerdo está en </w:t>
      </w:r>
      <w:r w:rsidRPr="002268C7">
        <w:rPr>
          <w:b/>
          <w:bCs/>
          <w:i/>
          <w:iCs/>
          <w:lang w:val="es-419"/>
        </w:rPr>
        <w:t>revisión</w:t>
      </w:r>
      <w:r w:rsidRPr="00510782">
        <w:rPr>
          <w:lang w:val="es-419"/>
        </w:rPr>
        <w:t>, no vigente.</w:t>
      </w:r>
    </w:p>
    <w:p w14:paraId="57B7FB19" w14:textId="77777777" w:rsidR="00CE6956" w:rsidRPr="00A83D9F" w:rsidRDefault="00CE6956" w:rsidP="006533E6">
      <w:pPr>
        <w:jc w:val="both"/>
        <w:rPr>
          <w:b/>
          <w:bCs/>
          <w:color w:val="000000" w:themeColor="text1"/>
          <w:lang w:val="es-CO"/>
        </w:rPr>
      </w:pPr>
    </w:p>
    <w:p w14:paraId="3B75705A" w14:textId="77777777" w:rsidR="00CE6956" w:rsidRDefault="00CE6956" w:rsidP="006533E6">
      <w:pPr>
        <w:jc w:val="both"/>
        <w:rPr>
          <w:lang w:val="es-CO"/>
        </w:rPr>
      </w:pPr>
    </w:p>
    <w:p w14:paraId="4F5E6750" w14:textId="47A18AFB" w:rsidR="00CE6956" w:rsidRDefault="00CE6956" w:rsidP="006533E6">
      <w:pPr>
        <w:jc w:val="both"/>
        <w:rPr>
          <w:lang w:val="es-CO"/>
        </w:rPr>
      </w:pPr>
      <w:r>
        <w:rPr>
          <w:lang w:val="es-CO"/>
        </w:rPr>
        <w:t xml:space="preserve">Nuevas propuestas metodológicas: </w:t>
      </w:r>
    </w:p>
    <w:p w14:paraId="65EF3B5F" w14:textId="2364069D" w:rsidR="00D823D3" w:rsidRPr="006533E6" w:rsidRDefault="00000000" w:rsidP="006533E6">
      <w:pPr>
        <w:jc w:val="both"/>
        <w:rPr>
          <w:lang w:val="es-CO"/>
        </w:rPr>
      </w:pPr>
      <w:r w:rsidRPr="006533E6">
        <w:rPr>
          <w:lang w:val="es-CO"/>
        </w:rPr>
        <w:t>La parte donde se plantea pasar de reglas de imputación (“último dato disponible”) a modelos estadísticos integrados es un avance conceptual muy importante:</w:t>
      </w:r>
    </w:p>
    <w:p w14:paraId="25C58D12" w14:textId="77777777" w:rsidR="00D823D3" w:rsidRPr="006533E6" w:rsidRDefault="00000000" w:rsidP="006533E6">
      <w:pPr>
        <w:jc w:val="both"/>
        <w:rPr>
          <w:lang w:val="es-CO"/>
        </w:rPr>
      </w:pPr>
      <w:r w:rsidRPr="006533E6">
        <w:rPr>
          <w:lang w:val="es-CO"/>
        </w:rPr>
        <w:t xml:space="preserve">- Se habla de estimación para áreas pequeñas, uso de modelos de cultivo tipo </w:t>
      </w:r>
      <w:proofErr w:type="spellStart"/>
      <w:r w:rsidRPr="006533E6">
        <w:rPr>
          <w:lang w:val="es-CO"/>
        </w:rPr>
        <w:t>AquaCrop</w:t>
      </w:r>
      <w:proofErr w:type="spellEnd"/>
      <w:r w:rsidRPr="006533E6">
        <w:rPr>
          <w:lang w:val="es-CO"/>
        </w:rPr>
        <w:t xml:space="preserve">, integración de clima, suelos, índices de vegetación, machine </w:t>
      </w:r>
      <w:proofErr w:type="spellStart"/>
      <w:r w:rsidRPr="006533E6">
        <w:rPr>
          <w:lang w:val="es-CO"/>
        </w:rPr>
        <w:t>learning</w:t>
      </w:r>
      <w:proofErr w:type="spellEnd"/>
      <w:r w:rsidRPr="006533E6">
        <w:rPr>
          <w:lang w:val="es-CO"/>
        </w:rPr>
        <w:t xml:space="preserve"> para predicción de rendimientos, etc.</w:t>
      </w:r>
      <w:r w:rsidRPr="006533E6">
        <w:rPr>
          <w:lang w:val="es-CO"/>
        </w:rPr>
        <w:br/>
        <w:t>- Se insiste en distinguir lo observado de lo estimado, y en asignar a cada valor un nivel de incertidumbre.</w:t>
      </w:r>
    </w:p>
    <w:p w14:paraId="6FD84D46" w14:textId="0174C2AD" w:rsidR="00D823D3" w:rsidRDefault="00000000" w:rsidP="006533E6">
      <w:pPr>
        <w:jc w:val="both"/>
        <w:rPr>
          <w:lang w:val="es-CO"/>
        </w:rPr>
      </w:pPr>
      <w:r w:rsidRPr="006533E6">
        <w:rPr>
          <w:lang w:val="es-CO"/>
        </w:rPr>
        <w:t>-No se puede observar todo → hay que modelar.</w:t>
      </w:r>
      <w:r w:rsidRPr="006533E6">
        <w:rPr>
          <w:lang w:val="es-CO"/>
        </w:rPr>
        <w:br/>
        <w:t>- Pero modelar no significa “rellenar huecos” sin más; significa hacer explícitos los supuestos, las covariables y los intervalos de incertidumbre.</w:t>
      </w:r>
    </w:p>
    <w:p w14:paraId="6E6B87E1" w14:textId="5BFA681D" w:rsidR="00CE6956" w:rsidRPr="006533E6" w:rsidRDefault="00CE6956" w:rsidP="006533E6">
      <w:pPr>
        <w:jc w:val="both"/>
        <w:rPr>
          <w:lang w:val="es-CO"/>
        </w:rPr>
      </w:pPr>
      <w:r>
        <w:rPr>
          <w:lang w:val="es-CO"/>
        </w:rPr>
        <w:t>PERO</w:t>
      </w:r>
    </w:p>
    <w:p w14:paraId="62340A41" w14:textId="77777777" w:rsidR="00D823D3" w:rsidRDefault="00000000" w:rsidP="006533E6">
      <w:pPr>
        <w:jc w:val="both"/>
        <w:rPr>
          <w:lang w:val="es-CO"/>
        </w:rPr>
      </w:pPr>
      <w:r w:rsidRPr="006533E6">
        <w:rPr>
          <w:lang w:val="es-CO"/>
        </w:rPr>
        <w:t>- El capítulo plantea estos modelos como “modernización técnica”, pero todavía no lleva la reflexión hasta la pregunta de cómo se van a usar políticamente esos nuevos valores.</w:t>
      </w:r>
      <w:r w:rsidRPr="006533E6">
        <w:rPr>
          <w:lang w:val="es-CO"/>
        </w:rPr>
        <w:br/>
        <w:t>- Si el uso de PPC para evaluar gobiernos, territorios o políticas sigue siendo el mismo, el hecho de tener un modelo más sofisticado no elimina el riesgo de que el indicador se sobrecargue de funciones que no puede cumplir.</w:t>
      </w:r>
    </w:p>
    <w:p w14:paraId="7AFF1ADA" w14:textId="5477E834" w:rsidR="00D823D3" w:rsidRPr="006533E6" w:rsidRDefault="00000000" w:rsidP="006533E6">
      <w:pPr>
        <w:jc w:val="both"/>
        <w:rPr>
          <w:lang w:val="es-CO"/>
        </w:rPr>
      </w:pPr>
      <w:r w:rsidRPr="006533E6">
        <w:rPr>
          <w:lang w:val="es-CO"/>
        </w:rPr>
        <w:br/>
        <w:t>- El verdadero giro no es solo técnico, sino narrativo: que PPC deje de ser “la cifra” que sintetiza la situación de la cocaína en Colombia, y pase a ser un dato intermedio dentro de un tablero más amplio que incluya disponibilidad, cocaína evitada y transformación territorial.</w:t>
      </w:r>
    </w:p>
    <w:p w14:paraId="0805F824" w14:textId="77777777" w:rsidR="006533E6" w:rsidRPr="00520667" w:rsidRDefault="006533E6" w:rsidP="00520667">
      <w:pPr>
        <w:spacing w:after="0" w:line="240" w:lineRule="auto"/>
        <w:jc w:val="both"/>
        <w:rPr>
          <w:b/>
          <w:bCs/>
          <w:lang w:val="es-419"/>
        </w:rPr>
      </w:pPr>
      <w:r w:rsidRPr="00520667">
        <w:rPr>
          <w:b/>
          <w:bCs/>
          <w:lang w:val="es-419"/>
        </w:rPr>
        <w:t>Inconsistencias técnicas</w:t>
      </w:r>
    </w:p>
    <w:p w14:paraId="680D2A55" w14:textId="77777777" w:rsidR="006533E6" w:rsidRPr="00790B02" w:rsidRDefault="006533E6" w:rsidP="006533E6">
      <w:pPr>
        <w:spacing w:after="0" w:line="240" w:lineRule="auto"/>
        <w:jc w:val="both"/>
        <w:rPr>
          <w:lang w:val="es-419"/>
        </w:rPr>
      </w:pPr>
    </w:p>
    <w:p w14:paraId="5C1DF3FE" w14:textId="77777777" w:rsidR="006533E6" w:rsidRPr="00B4471B" w:rsidRDefault="006533E6" w:rsidP="006533E6">
      <w:pPr>
        <w:pStyle w:val="Prrafodelista"/>
        <w:numPr>
          <w:ilvl w:val="0"/>
          <w:numId w:val="12"/>
        </w:numPr>
        <w:spacing w:after="0" w:line="240" w:lineRule="auto"/>
        <w:jc w:val="both"/>
        <w:rPr>
          <w:lang w:val="es-419"/>
        </w:rPr>
      </w:pPr>
      <w:r w:rsidRPr="00B4471B">
        <w:rPr>
          <w:lang w:val="es-419"/>
        </w:rPr>
        <w:t>Se cuestiona la falta de actualización de factores críticos:</w:t>
      </w:r>
    </w:p>
    <w:p w14:paraId="04262D72" w14:textId="77777777" w:rsidR="006533E6" w:rsidRDefault="006533E6" w:rsidP="006533E6">
      <w:pPr>
        <w:pStyle w:val="Prrafodelista"/>
        <w:numPr>
          <w:ilvl w:val="0"/>
          <w:numId w:val="12"/>
        </w:numPr>
        <w:spacing w:after="0" w:line="240" w:lineRule="auto"/>
        <w:jc w:val="both"/>
        <w:rPr>
          <w:lang w:val="es-419"/>
        </w:rPr>
      </w:pPr>
      <w:r w:rsidRPr="00B4471B">
        <w:rPr>
          <w:lang w:val="es-419"/>
        </w:rPr>
        <w:t>Factor PBC vs BC: desde 2020 el valor usado contradice el modelo metodológico (1 kg PBC ≠ 0,75 kg BC). No hay justificación científica ni documentación.</w:t>
      </w:r>
    </w:p>
    <w:p w14:paraId="47AA1D8B" w14:textId="77777777" w:rsidR="006533E6" w:rsidRDefault="006533E6" w:rsidP="006533E6">
      <w:pPr>
        <w:pStyle w:val="Prrafodelista"/>
        <w:spacing w:after="0" w:line="240" w:lineRule="auto"/>
        <w:ind w:left="764"/>
        <w:jc w:val="both"/>
        <w:rPr>
          <w:lang w:val="es-419"/>
        </w:rPr>
      </w:pPr>
    </w:p>
    <w:p w14:paraId="643C4100" w14:textId="77777777" w:rsidR="006533E6" w:rsidRDefault="006533E6" w:rsidP="006533E6">
      <w:pPr>
        <w:pStyle w:val="Prrafodelista"/>
        <w:numPr>
          <w:ilvl w:val="0"/>
          <w:numId w:val="12"/>
        </w:numPr>
        <w:spacing w:after="0" w:line="240" w:lineRule="auto"/>
        <w:jc w:val="both"/>
        <w:rPr>
          <w:lang w:val="es-419"/>
        </w:rPr>
      </w:pPr>
      <w:r w:rsidRPr="00B4471B">
        <w:rPr>
          <w:lang w:val="es-419"/>
        </w:rPr>
        <w:t>Factores de extracción basados en estudios antiguos (2010–2013) con limitaciones reconocidas (representatividad, tamaño de muestra, ausencia de replicación).</w:t>
      </w:r>
    </w:p>
    <w:p w14:paraId="76967F3A" w14:textId="77777777" w:rsidR="006533E6" w:rsidRPr="00510782" w:rsidRDefault="006533E6" w:rsidP="006533E6">
      <w:pPr>
        <w:spacing w:after="0" w:line="240" w:lineRule="auto"/>
        <w:jc w:val="both"/>
        <w:rPr>
          <w:lang w:val="es-419"/>
        </w:rPr>
      </w:pPr>
    </w:p>
    <w:p w14:paraId="2C935C41" w14:textId="179464A4" w:rsidR="006533E6" w:rsidRPr="00520667" w:rsidRDefault="006533E6" w:rsidP="00520667">
      <w:pPr>
        <w:pStyle w:val="Prrafodelista"/>
        <w:numPr>
          <w:ilvl w:val="0"/>
          <w:numId w:val="12"/>
        </w:numPr>
        <w:spacing w:after="0" w:line="240" w:lineRule="auto"/>
        <w:jc w:val="both"/>
        <w:rPr>
          <w:lang w:val="es-419"/>
        </w:rPr>
      </w:pPr>
      <w:r w:rsidRPr="00B4471B">
        <w:rPr>
          <w:lang w:val="es-419"/>
        </w:rPr>
        <w:t>Se pide evidencia del ajuste del factor BC en 2018 y transparencia sobre cálculos.</w:t>
      </w:r>
    </w:p>
    <w:p w14:paraId="2C46E256" w14:textId="77777777" w:rsidR="006533E6" w:rsidRPr="00790B02" w:rsidRDefault="006533E6" w:rsidP="006533E6">
      <w:pPr>
        <w:spacing w:after="0" w:line="240" w:lineRule="auto"/>
        <w:jc w:val="both"/>
        <w:rPr>
          <w:lang w:val="es-419"/>
        </w:rPr>
      </w:pPr>
    </w:p>
    <w:p w14:paraId="478DAE3C" w14:textId="77777777" w:rsidR="006533E6" w:rsidRDefault="006533E6" w:rsidP="006533E6">
      <w:pPr>
        <w:spacing w:after="0" w:line="240" w:lineRule="auto"/>
        <w:jc w:val="both"/>
        <w:rPr>
          <w:lang w:val="es-419"/>
        </w:rPr>
      </w:pPr>
    </w:p>
    <w:p w14:paraId="2EC7AAC2" w14:textId="159E6700" w:rsidR="00520667" w:rsidRPr="00520667" w:rsidRDefault="00520667" w:rsidP="006533E6">
      <w:pPr>
        <w:spacing w:after="0" w:line="240" w:lineRule="auto"/>
        <w:jc w:val="both"/>
        <w:rPr>
          <w:b/>
          <w:bCs/>
          <w:lang w:val="es-419"/>
        </w:rPr>
      </w:pPr>
      <w:r w:rsidRPr="00520667">
        <w:rPr>
          <w:b/>
          <w:bCs/>
          <w:lang w:val="es-419"/>
        </w:rPr>
        <w:t>Otros comentarios</w:t>
      </w:r>
    </w:p>
    <w:p w14:paraId="28EA8A65" w14:textId="77777777" w:rsidR="00520667" w:rsidRPr="00790B02" w:rsidRDefault="00520667" w:rsidP="006533E6">
      <w:pPr>
        <w:spacing w:after="0" w:line="240" w:lineRule="auto"/>
        <w:jc w:val="both"/>
        <w:rPr>
          <w:lang w:val="es-419"/>
        </w:rPr>
      </w:pPr>
    </w:p>
    <w:p w14:paraId="2162120F" w14:textId="77777777" w:rsidR="006533E6" w:rsidRPr="002268C7" w:rsidRDefault="006533E6" w:rsidP="006533E6">
      <w:pPr>
        <w:pStyle w:val="Prrafodelista"/>
        <w:numPr>
          <w:ilvl w:val="0"/>
          <w:numId w:val="11"/>
        </w:numPr>
        <w:spacing w:after="0" w:line="240" w:lineRule="auto"/>
        <w:jc w:val="both"/>
        <w:rPr>
          <w:lang w:val="es-419"/>
        </w:rPr>
      </w:pPr>
      <w:r w:rsidRPr="002268C7">
        <w:rPr>
          <w:b/>
          <w:bCs/>
          <w:lang w:val="es-419"/>
        </w:rPr>
        <w:t>Interpretación de resultados</w:t>
      </w:r>
    </w:p>
    <w:p w14:paraId="4A5B9042" w14:textId="77777777" w:rsidR="006533E6" w:rsidRPr="00790B02" w:rsidRDefault="006533E6" w:rsidP="006533E6">
      <w:pPr>
        <w:spacing w:after="0" w:line="240" w:lineRule="auto"/>
        <w:jc w:val="both"/>
        <w:rPr>
          <w:lang w:val="es-419"/>
        </w:rPr>
      </w:pPr>
    </w:p>
    <w:p w14:paraId="35BA0068" w14:textId="77777777" w:rsidR="006533E6" w:rsidRDefault="006533E6" w:rsidP="006533E6">
      <w:pPr>
        <w:pStyle w:val="Prrafodelista"/>
        <w:numPr>
          <w:ilvl w:val="0"/>
          <w:numId w:val="12"/>
        </w:numPr>
        <w:spacing w:after="0" w:line="240" w:lineRule="auto"/>
        <w:jc w:val="both"/>
        <w:rPr>
          <w:lang w:val="es-419"/>
        </w:rPr>
      </w:pPr>
      <w:r w:rsidRPr="002268C7">
        <w:rPr>
          <w:lang w:val="es-419"/>
        </w:rPr>
        <w:t>Señalar consecuencias de usar datos desactualizados: conclusiones erróneas, falta de sensibilidad a cambios estructurales.</w:t>
      </w:r>
    </w:p>
    <w:p w14:paraId="3BAE53BF" w14:textId="77777777" w:rsidR="006533E6" w:rsidRPr="002268C7" w:rsidRDefault="006533E6" w:rsidP="006533E6">
      <w:pPr>
        <w:pStyle w:val="Prrafodelista"/>
        <w:spacing w:after="0" w:line="240" w:lineRule="auto"/>
        <w:ind w:left="764"/>
        <w:jc w:val="both"/>
        <w:rPr>
          <w:lang w:val="es-419"/>
        </w:rPr>
      </w:pPr>
    </w:p>
    <w:p w14:paraId="29CFA88B" w14:textId="77777777" w:rsidR="006533E6" w:rsidRPr="002268C7" w:rsidRDefault="006533E6" w:rsidP="006533E6">
      <w:pPr>
        <w:pStyle w:val="Prrafodelista"/>
        <w:numPr>
          <w:ilvl w:val="0"/>
          <w:numId w:val="12"/>
        </w:numPr>
        <w:spacing w:after="0" w:line="240" w:lineRule="auto"/>
        <w:jc w:val="both"/>
        <w:rPr>
          <w:lang w:val="es-419"/>
        </w:rPr>
      </w:pPr>
      <w:r w:rsidRPr="002268C7">
        <w:rPr>
          <w:lang w:val="es-419"/>
        </w:rPr>
        <w:t>Aclarar que interpolaciones y proyecciones son ejercicios teóricos y no representan la realidad.</w:t>
      </w:r>
    </w:p>
    <w:p w14:paraId="1E81B464" w14:textId="77777777" w:rsidR="006533E6" w:rsidRPr="00790B02" w:rsidRDefault="006533E6" w:rsidP="006533E6">
      <w:pPr>
        <w:spacing w:after="0" w:line="240" w:lineRule="auto"/>
        <w:jc w:val="both"/>
        <w:rPr>
          <w:lang w:val="es-419"/>
        </w:rPr>
      </w:pPr>
    </w:p>
    <w:p w14:paraId="70F21646" w14:textId="77777777" w:rsidR="006533E6" w:rsidRPr="002268C7" w:rsidRDefault="006533E6" w:rsidP="006533E6">
      <w:pPr>
        <w:pStyle w:val="Prrafodelista"/>
        <w:numPr>
          <w:ilvl w:val="0"/>
          <w:numId w:val="11"/>
        </w:numPr>
        <w:spacing w:after="0" w:line="240" w:lineRule="auto"/>
        <w:jc w:val="both"/>
        <w:rPr>
          <w:b/>
          <w:bCs/>
          <w:lang w:val="es-419"/>
        </w:rPr>
      </w:pPr>
      <w:r w:rsidRPr="002268C7">
        <w:rPr>
          <w:b/>
          <w:bCs/>
          <w:lang w:val="es-419"/>
        </w:rPr>
        <w:t>Evidencia reciente y alertas</w:t>
      </w:r>
    </w:p>
    <w:p w14:paraId="124D733E" w14:textId="77777777" w:rsidR="006533E6" w:rsidRPr="00790B02" w:rsidRDefault="006533E6" w:rsidP="006533E6">
      <w:pPr>
        <w:spacing w:after="0" w:line="240" w:lineRule="auto"/>
        <w:jc w:val="both"/>
        <w:rPr>
          <w:lang w:val="es-419"/>
        </w:rPr>
      </w:pPr>
    </w:p>
    <w:p w14:paraId="404AD615" w14:textId="77777777" w:rsidR="006533E6" w:rsidRPr="002268C7" w:rsidRDefault="006533E6" w:rsidP="006533E6">
      <w:pPr>
        <w:pStyle w:val="Prrafodelista"/>
        <w:numPr>
          <w:ilvl w:val="0"/>
          <w:numId w:val="12"/>
        </w:numPr>
        <w:spacing w:after="0" w:line="240" w:lineRule="auto"/>
        <w:jc w:val="both"/>
        <w:rPr>
          <w:lang w:val="es-419"/>
        </w:rPr>
      </w:pPr>
      <w:r w:rsidRPr="002268C7">
        <w:rPr>
          <w:lang w:val="es-419"/>
        </w:rPr>
        <w:t>Se pide precisión sobre la tecnificación y especialización productiva:</w:t>
      </w:r>
    </w:p>
    <w:p w14:paraId="1203C530" w14:textId="77777777" w:rsidR="006533E6" w:rsidRPr="002268C7" w:rsidRDefault="006533E6" w:rsidP="006533E6">
      <w:pPr>
        <w:pStyle w:val="Prrafodelista"/>
        <w:numPr>
          <w:ilvl w:val="0"/>
          <w:numId w:val="12"/>
        </w:numPr>
        <w:spacing w:after="0" w:line="240" w:lineRule="auto"/>
        <w:jc w:val="both"/>
        <w:rPr>
          <w:lang w:val="es-419"/>
        </w:rPr>
      </w:pPr>
      <w:r w:rsidRPr="002268C7">
        <w:rPr>
          <w:lang w:val="es-419"/>
        </w:rPr>
        <w:t>Explicar qué significa “producción masiva” y por qué un tanque de 1000 litros se considera infraestructura especializada.</w:t>
      </w:r>
    </w:p>
    <w:p w14:paraId="35B088F2" w14:textId="77777777" w:rsidR="006533E6" w:rsidRPr="002268C7" w:rsidRDefault="006533E6" w:rsidP="006533E6">
      <w:pPr>
        <w:pStyle w:val="Prrafodelista"/>
        <w:numPr>
          <w:ilvl w:val="0"/>
          <w:numId w:val="12"/>
        </w:numPr>
        <w:spacing w:after="0" w:line="240" w:lineRule="auto"/>
        <w:jc w:val="both"/>
        <w:rPr>
          <w:lang w:val="es-419"/>
        </w:rPr>
      </w:pPr>
      <w:r w:rsidRPr="002268C7">
        <w:rPr>
          <w:lang w:val="es-419"/>
        </w:rPr>
        <w:t>Comparar datos actuales con históricos para entender alertas (uso de permanganato, pruebas de calidad).</w:t>
      </w:r>
    </w:p>
    <w:p w14:paraId="508282D5" w14:textId="77777777" w:rsidR="006533E6" w:rsidRPr="00790B02" w:rsidRDefault="006533E6" w:rsidP="006533E6">
      <w:pPr>
        <w:spacing w:after="0" w:line="240" w:lineRule="auto"/>
        <w:jc w:val="both"/>
        <w:rPr>
          <w:lang w:val="es-419"/>
        </w:rPr>
      </w:pPr>
    </w:p>
    <w:p w14:paraId="39E1F3D4" w14:textId="77777777" w:rsidR="006533E6" w:rsidRPr="002268C7" w:rsidRDefault="006533E6" w:rsidP="006533E6">
      <w:pPr>
        <w:pStyle w:val="Prrafodelista"/>
        <w:numPr>
          <w:ilvl w:val="0"/>
          <w:numId w:val="11"/>
        </w:numPr>
        <w:spacing w:after="0" w:line="240" w:lineRule="auto"/>
        <w:jc w:val="both"/>
        <w:rPr>
          <w:b/>
          <w:bCs/>
          <w:lang w:val="es-419"/>
        </w:rPr>
      </w:pPr>
      <w:r w:rsidRPr="002268C7">
        <w:rPr>
          <w:b/>
          <w:bCs/>
          <w:lang w:val="es-419"/>
        </w:rPr>
        <w:t>Política pública y narrativa</w:t>
      </w:r>
    </w:p>
    <w:p w14:paraId="2C53ECAD" w14:textId="77777777" w:rsidR="006533E6" w:rsidRPr="00790B02" w:rsidRDefault="006533E6" w:rsidP="006533E6">
      <w:pPr>
        <w:spacing w:after="0" w:line="240" w:lineRule="auto"/>
        <w:jc w:val="both"/>
        <w:rPr>
          <w:lang w:val="es-419"/>
        </w:rPr>
      </w:pPr>
    </w:p>
    <w:p w14:paraId="2AAB6877" w14:textId="77777777" w:rsidR="006533E6" w:rsidRPr="002268C7" w:rsidRDefault="006533E6" w:rsidP="006533E6">
      <w:pPr>
        <w:pStyle w:val="Prrafodelista"/>
        <w:numPr>
          <w:ilvl w:val="0"/>
          <w:numId w:val="12"/>
        </w:numPr>
        <w:spacing w:after="0" w:line="240" w:lineRule="auto"/>
        <w:jc w:val="both"/>
        <w:rPr>
          <w:lang w:val="es-419"/>
        </w:rPr>
      </w:pPr>
      <w:r w:rsidRPr="002268C7">
        <w:rPr>
          <w:lang w:val="es-419"/>
        </w:rPr>
        <w:t>Evitar referencias a gobiernos específicos; enmarcar en</w:t>
      </w:r>
      <w:r w:rsidRPr="002268C7">
        <w:rPr>
          <w:i/>
          <w:iCs/>
          <w:lang w:val="es-419"/>
        </w:rPr>
        <w:t xml:space="preserve"> políticas de Estado</w:t>
      </w:r>
      <w:r w:rsidRPr="002268C7">
        <w:rPr>
          <w:lang w:val="es-419"/>
        </w:rPr>
        <w:t>.</w:t>
      </w:r>
    </w:p>
    <w:p w14:paraId="0CD358E0" w14:textId="77777777" w:rsidR="006533E6" w:rsidRPr="002268C7" w:rsidRDefault="006533E6" w:rsidP="006533E6">
      <w:pPr>
        <w:pStyle w:val="Prrafodelista"/>
        <w:numPr>
          <w:ilvl w:val="0"/>
          <w:numId w:val="12"/>
        </w:numPr>
        <w:spacing w:after="0" w:line="240" w:lineRule="auto"/>
        <w:jc w:val="both"/>
        <w:rPr>
          <w:lang w:val="es-419"/>
        </w:rPr>
      </w:pPr>
      <w:r>
        <w:rPr>
          <w:lang w:val="es-419"/>
        </w:rPr>
        <w:t>La gráfica de</w:t>
      </w:r>
      <w:r w:rsidRPr="002268C7">
        <w:rPr>
          <w:lang w:val="es-419"/>
        </w:rPr>
        <w:t xml:space="preserve"> “oxígeno y asfixia” por no representar correctamente la política actual.</w:t>
      </w:r>
    </w:p>
    <w:p w14:paraId="23055355" w14:textId="77777777" w:rsidR="006533E6" w:rsidRPr="00790B02" w:rsidRDefault="006533E6" w:rsidP="006533E6">
      <w:pPr>
        <w:spacing w:after="0" w:line="240" w:lineRule="auto"/>
        <w:jc w:val="both"/>
        <w:rPr>
          <w:lang w:val="es-419"/>
        </w:rPr>
      </w:pPr>
    </w:p>
    <w:p w14:paraId="1E5AA212" w14:textId="77777777" w:rsidR="006533E6" w:rsidRPr="00A21F13" w:rsidRDefault="006533E6" w:rsidP="006533E6">
      <w:pPr>
        <w:pStyle w:val="Prrafodelista"/>
        <w:numPr>
          <w:ilvl w:val="0"/>
          <w:numId w:val="11"/>
        </w:numPr>
        <w:spacing w:after="0" w:line="240" w:lineRule="auto"/>
        <w:jc w:val="both"/>
        <w:rPr>
          <w:b/>
          <w:bCs/>
          <w:lang w:val="es-419"/>
        </w:rPr>
      </w:pPr>
      <w:r w:rsidRPr="00A21F13">
        <w:rPr>
          <w:b/>
          <w:bCs/>
          <w:lang w:val="es-419"/>
        </w:rPr>
        <w:t>Ruta de implementación</w:t>
      </w:r>
    </w:p>
    <w:p w14:paraId="16085D3D" w14:textId="77777777" w:rsidR="006533E6" w:rsidRPr="00790B02" w:rsidRDefault="006533E6" w:rsidP="006533E6">
      <w:pPr>
        <w:spacing w:after="0" w:line="240" w:lineRule="auto"/>
        <w:jc w:val="both"/>
        <w:rPr>
          <w:lang w:val="es-419"/>
        </w:rPr>
      </w:pPr>
    </w:p>
    <w:p w14:paraId="59EDB8B0" w14:textId="77777777" w:rsidR="006533E6" w:rsidRDefault="006533E6" w:rsidP="006533E6">
      <w:pPr>
        <w:pStyle w:val="Prrafodelista"/>
        <w:numPr>
          <w:ilvl w:val="0"/>
          <w:numId w:val="12"/>
        </w:numPr>
        <w:spacing w:after="0" w:line="240" w:lineRule="auto"/>
        <w:jc w:val="both"/>
        <w:rPr>
          <w:lang w:val="es-419"/>
        </w:rPr>
      </w:pPr>
      <w:r>
        <w:rPr>
          <w:lang w:val="es-419"/>
        </w:rPr>
        <w:t>L</w:t>
      </w:r>
      <w:r w:rsidRPr="00A21F13">
        <w:rPr>
          <w:lang w:val="es-419"/>
        </w:rPr>
        <w:t>a hoja de ruta no ha sido discutida con MinJusticia y debe aclararse.</w:t>
      </w:r>
    </w:p>
    <w:p w14:paraId="0FD31560" w14:textId="77777777" w:rsidR="006533E6" w:rsidRPr="00A21F13" w:rsidRDefault="006533E6" w:rsidP="006533E6">
      <w:pPr>
        <w:pStyle w:val="Prrafodelista"/>
        <w:spacing w:after="0" w:line="240" w:lineRule="auto"/>
        <w:ind w:left="764"/>
        <w:jc w:val="both"/>
        <w:rPr>
          <w:lang w:val="es-419"/>
        </w:rPr>
      </w:pPr>
    </w:p>
    <w:p w14:paraId="2FE7CAC2" w14:textId="77777777" w:rsidR="006533E6" w:rsidRPr="006B7B94" w:rsidRDefault="006533E6" w:rsidP="006533E6">
      <w:pPr>
        <w:pStyle w:val="Prrafodelista"/>
        <w:numPr>
          <w:ilvl w:val="0"/>
          <w:numId w:val="12"/>
        </w:numPr>
        <w:spacing w:after="0" w:line="240" w:lineRule="auto"/>
        <w:jc w:val="both"/>
        <w:rPr>
          <w:lang w:val="es-419"/>
        </w:rPr>
      </w:pPr>
      <w:r w:rsidRPr="006B7B94">
        <w:rPr>
          <w:lang w:val="es-419"/>
        </w:rPr>
        <w:t>Con las limitaciones actuales, publicar el dato de PPC no es responsable.</w:t>
      </w:r>
    </w:p>
    <w:p w14:paraId="1BB74685" w14:textId="77777777" w:rsidR="006533E6" w:rsidRDefault="006533E6" w:rsidP="006533E6">
      <w:pPr>
        <w:jc w:val="both"/>
        <w:rPr>
          <w:lang w:val="es-419"/>
        </w:rPr>
      </w:pPr>
    </w:p>
    <w:p w14:paraId="3FA93F39" w14:textId="76A3CD4F" w:rsidR="006533E6" w:rsidRDefault="00CD68C2" w:rsidP="006533E6">
      <w:pPr>
        <w:jc w:val="both"/>
        <w:rPr>
          <w:lang w:val="es-419"/>
        </w:rPr>
      </w:pPr>
      <w:r>
        <w:rPr>
          <w:lang w:val="es-419"/>
        </w:rPr>
        <w:t>Comentarios a los demás capítulos del Informe SIMCI</w:t>
      </w:r>
    </w:p>
    <w:p w14:paraId="0F557556" w14:textId="47AA0BED" w:rsidR="006533E6" w:rsidRDefault="006533E6" w:rsidP="006533E6">
      <w:pPr>
        <w:jc w:val="both"/>
        <w:rPr>
          <w:lang w:val="es-419"/>
        </w:rPr>
      </w:pPr>
      <w:r>
        <w:rPr>
          <w:lang w:val="es-419"/>
        </w:rPr>
        <w:t>Capítulo 1.  Desde la Dirección de Política de Drogas del Ministerio de Justicia, se insiste en que no se incluya el dato de producción mundial de 202</w:t>
      </w:r>
      <w:r w:rsidR="00CD68C2">
        <w:rPr>
          <w:lang w:val="es-419"/>
        </w:rPr>
        <w:t>3,</w:t>
      </w:r>
      <w:r>
        <w:rPr>
          <w:lang w:val="es-419"/>
        </w:rPr>
        <w:t xml:space="preserve"> dadas las limitaciones metodológicas reconocidas por UNODC para el cálculo de Colombia,</w:t>
      </w:r>
      <w:r w:rsidR="00CD68C2">
        <w:rPr>
          <w:lang w:val="es-419"/>
        </w:rPr>
        <w:t xml:space="preserve"> en que se basa el dato mundial.  Además no </w:t>
      </w:r>
      <w:r>
        <w:rPr>
          <w:lang w:val="es-419"/>
        </w:rPr>
        <w:t>se conoce la metodología usada para extrapolar los datos a los demás países productores.</w:t>
      </w:r>
    </w:p>
    <w:p w14:paraId="2C7A3D23" w14:textId="260BF42B" w:rsidR="00CD68C2" w:rsidRDefault="00CD68C2" w:rsidP="006533E6">
      <w:pPr>
        <w:jc w:val="both"/>
        <w:rPr>
          <w:lang w:val="es-CO"/>
        </w:rPr>
      </w:pPr>
      <w:r>
        <w:rPr>
          <w:lang w:val="es-419"/>
        </w:rPr>
        <w:t>De otra parte, se insiste en que no se incluyan las estimaciones de PPCC de 2023 y 2024 en  la t</w:t>
      </w:r>
      <w:proofErr w:type="spellStart"/>
      <w:r w:rsidRPr="00CD68C2">
        <w:rPr>
          <w:i/>
          <w:iCs/>
          <w:lang w:val="es-CO"/>
        </w:rPr>
        <w:t>abla</w:t>
      </w:r>
      <w:proofErr w:type="spellEnd"/>
      <w:r w:rsidRPr="00CD68C2">
        <w:rPr>
          <w:i/>
          <w:iCs/>
          <w:lang w:val="es-CO"/>
        </w:rPr>
        <w:t xml:space="preserve"> 2. Resumen de las estadísticas disponibles de oferta y demanda de cocaína a nivel mundial y en Colombia</w:t>
      </w:r>
      <w:r>
        <w:rPr>
          <w:lang w:val="es-CO"/>
        </w:rPr>
        <w:t>.</w:t>
      </w:r>
    </w:p>
    <w:p w14:paraId="3DB484EB" w14:textId="2C7F2FD1" w:rsidR="006533E6" w:rsidRDefault="006533E6" w:rsidP="006533E6">
      <w:pPr>
        <w:jc w:val="both"/>
        <w:rPr>
          <w:lang w:val="es-419"/>
        </w:rPr>
      </w:pPr>
      <w:r>
        <w:rPr>
          <w:lang w:val="es-419"/>
        </w:rPr>
        <w:t xml:space="preserve">Capitulo 2.  Por las razones expresadas en las mesas de trabajo y en los comentarios del capítulo 4, la Dirección de Política de Drogas del Ministerio de Justicia </w:t>
      </w:r>
      <w:r w:rsidR="00CD68C2">
        <w:rPr>
          <w:lang w:val="es-419"/>
        </w:rPr>
        <w:t xml:space="preserve">reitera que no se deben incluir </w:t>
      </w:r>
      <w:r>
        <w:rPr>
          <w:lang w:val="es-419"/>
        </w:rPr>
        <w:t>la estimaci</w:t>
      </w:r>
      <w:r w:rsidR="00CD68C2">
        <w:rPr>
          <w:lang w:val="es-419"/>
        </w:rPr>
        <w:t>ón</w:t>
      </w:r>
      <w:r>
        <w:rPr>
          <w:lang w:val="es-419"/>
        </w:rPr>
        <w:t xml:space="preserve"> de productividad de 2024 por no ser un dato confiable. </w:t>
      </w:r>
    </w:p>
    <w:p w14:paraId="6B2D24A7" w14:textId="09371396" w:rsidR="00CD68C2" w:rsidRDefault="00CD68C2" w:rsidP="006533E6">
      <w:pPr>
        <w:jc w:val="both"/>
        <w:rPr>
          <w:lang w:val="es-419"/>
        </w:rPr>
      </w:pPr>
      <w:r>
        <w:rPr>
          <w:lang w:val="es-419"/>
        </w:rPr>
        <w:t xml:space="preserve">De otra parte, se insiste en los comentarios realizados por el equipo ODC que no fueron atendidos.  </w:t>
      </w:r>
    </w:p>
    <w:p w14:paraId="3FA9E1FE" w14:textId="18626CAD" w:rsidR="00CD68C2" w:rsidRDefault="00CD68C2" w:rsidP="006533E6">
      <w:pPr>
        <w:jc w:val="both"/>
        <w:rPr>
          <w:lang w:val="es-419"/>
        </w:rPr>
      </w:pPr>
      <w:r>
        <w:rPr>
          <w:lang w:val="es-419"/>
        </w:rPr>
        <w:t>Dado que cuando se recibió el capítulo 2, no se tenía proyectado el capítulo 4, se sugiere limitar el capítulo 2 solamente a la información de cultivos de coca, y eliminar todo lo de productividad.</w:t>
      </w:r>
    </w:p>
    <w:p w14:paraId="182BDF15" w14:textId="77777777" w:rsidR="00CD68C2" w:rsidRDefault="00CD68C2" w:rsidP="006533E6">
      <w:pPr>
        <w:jc w:val="both"/>
        <w:rPr>
          <w:lang w:val="es-419"/>
        </w:rPr>
      </w:pPr>
    </w:p>
    <w:p w14:paraId="0D621857" w14:textId="4DF7E29E" w:rsidR="00CD68C2" w:rsidRDefault="00CD68C2" w:rsidP="006533E6">
      <w:pPr>
        <w:jc w:val="both"/>
        <w:rPr>
          <w:lang w:val="es-419"/>
        </w:rPr>
      </w:pPr>
      <w:r>
        <w:rPr>
          <w:lang w:val="es-419"/>
        </w:rPr>
        <w:lastRenderedPageBreak/>
        <w:t>Capítulo 3.  No se ha recibido capítulo ajustado según comentarios</w:t>
      </w:r>
      <w:r w:rsidR="00821E21">
        <w:rPr>
          <w:lang w:val="es-419"/>
        </w:rPr>
        <w:t>.  Se</w:t>
      </w:r>
      <w:r>
        <w:rPr>
          <w:lang w:val="es-419"/>
        </w:rPr>
        <w:t xml:space="preserve"> </w:t>
      </w:r>
      <w:r w:rsidR="00821E21">
        <w:rPr>
          <w:lang w:val="es-419"/>
        </w:rPr>
        <w:t>solicita</w:t>
      </w:r>
      <w:r>
        <w:rPr>
          <w:lang w:val="es-419"/>
        </w:rPr>
        <w:t xml:space="preserve"> eliminar o presentar de mejor forma la información de presencia de grupos, dado que se marca todo el municipio por eventos que no siempre indican presencia.</w:t>
      </w:r>
    </w:p>
    <w:p w14:paraId="006BB5E1" w14:textId="77777777" w:rsidR="00CD68C2" w:rsidRDefault="00CD68C2" w:rsidP="006533E6">
      <w:pPr>
        <w:jc w:val="both"/>
        <w:rPr>
          <w:lang w:val="es-419"/>
        </w:rPr>
      </w:pPr>
    </w:p>
    <w:p w14:paraId="4142BFF5" w14:textId="77777777" w:rsidR="00CD68C2" w:rsidRDefault="00CD68C2" w:rsidP="006533E6">
      <w:pPr>
        <w:jc w:val="both"/>
        <w:rPr>
          <w:lang w:val="es-419"/>
        </w:rPr>
      </w:pPr>
    </w:p>
    <w:p w14:paraId="4FA0188D" w14:textId="77777777" w:rsidR="006533E6" w:rsidRPr="006533E6" w:rsidRDefault="006533E6">
      <w:pPr>
        <w:rPr>
          <w:lang w:val="es-419"/>
        </w:rPr>
      </w:pPr>
    </w:p>
    <w:sectPr w:rsidR="006533E6" w:rsidRPr="006533E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C5422F1"/>
    <w:multiLevelType w:val="hybridMultilevel"/>
    <w:tmpl w:val="CA68798A"/>
    <w:lvl w:ilvl="0" w:tplc="0C126F42">
      <w:start w:val="1"/>
      <w:numFmt w:val="decimal"/>
      <w:lvlText w:val="%1."/>
      <w:lvlJc w:val="left"/>
      <w:pPr>
        <w:ind w:left="720" w:hanging="360"/>
      </w:pPr>
      <w:rPr>
        <w:b/>
        <w:bCs/>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22401813"/>
    <w:multiLevelType w:val="hybridMultilevel"/>
    <w:tmpl w:val="628AA5CE"/>
    <w:lvl w:ilvl="0" w:tplc="5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1D5506"/>
    <w:multiLevelType w:val="hybridMultilevel"/>
    <w:tmpl w:val="CD14F2DE"/>
    <w:lvl w:ilvl="0" w:tplc="580A0001">
      <w:start w:val="1"/>
      <w:numFmt w:val="bullet"/>
      <w:lvlText w:val=""/>
      <w:lvlJc w:val="left"/>
      <w:pPr>
        <w:ind w:left="764" w:hanging="360"/>
      </w:pPr>
      <w:rPr>
        <w:rFonts w:ascii="Symbol" w:hAnsi="Symbol" w:hint="default"/>
      </w:rPr>
    </w:lvl>
    <w:lvl w:ilvl="1" w:tplc="580A0003">
      <w:start w:val="1"/>
      <w:numFmt w:val="bullet"/>
      <w:lvlText w:val="o"/>
      <w:lvlJc w:val="left"/>
      <w:pPr>
        <w:ind w:left="1484" w:hanging="360"/>
      </w:pPr>
      <w:rPr>
        <w:rFonts w:ascii="Courier New" w:hAnsi="Courier New" w:cs="Courier New" w:hint="default"/>
      </w:rPr>
    </w:lvl>
    <w:lvl w:ilvl="2" w:tplc="580A0005" w:tentative="1">
      <w:start w:val="1"/>
      <w:numFmt w:val="bullet"/>
      <w:lvlText w:val=""/>
      <w:lvlJc w:val="left"/>
      <w:pPr>
        <w:ind w:left="2204" w:hanging="360"/>
      </w:pPr>
      <w:rPr>
        <w:rFonts w:ascii="Wingdings" w:hAnsi="Wingdings" w:hint="default"/>
      </w:rPr>
    </w:lvl>
    <w:lvl w:ilvl="3" w:tplc="580A0001" w:tentative="1">
      <w:start w:val="1"/>
      <w:numFmt w:val="bullet"/>
      <w:lvlText w:val=""/>
      <w:lvlJc w:val="left"/>
      <w:pPr>
        <w:ind w:left="2924" w:hanging="360"/>
      </w:pPr>
      <w:rPr>
        <w:rFonts w:ascii="Symbol" w:hAnsi="Symbol" w:hint="default"/>
      </w:rPr>
    </w:lvl>
    <w:lvl w:ilvl="4" w:tplc="580A0003" w:tentative="1">
      <w:start w:val="1"/>
      <w:numFmt w:val="bullet"/>
      <w:lvlText w:val="o"/>
      <w:lvlJc w:val="left"/>
      <w:pPr>
        <w:ind w:left="3644" w:hanging="360"/>
      </w:pPr>
      <w:rPr>
        <w:rFonts w:ascii="Courier New" w:hAnsi="Courier New" w:cs="Courier New" w:hint="default"/>
      </w:rPr>
    </w:lvl>
    <w:lvl w:ilvl="5" w:tplc="580A0005" w:tentative="1">
      <w:start w:val="1"/>
      <w:numFmt w:val="bullet"/>
      <w:lvlText w:val=""/>
      <w:lvlJc w:val="left"/>
      <w:pPr>
        <w:ind w:left="4364" w:hanging="360"/>
      </w:pPr>
      <w:rPr>
        <w:rFonts w:ascii="Wingdings" w:hAnsi="Wingdings" w:hint="default"/>
      </w:rPr>
    </w:lvl>
    <w:lvl w:ilvl="6" w:tplc="580A0001" w:tentative="1">
      <w:start w:val="1"/>
      <w:numFmt w:val="bullet"/>
      <w:lvlText w:val=""/>
      <w:lvlJc w:val="left"/>
      <w:pPr>
        <w:ind w:left="5084" w:hanging="360"/>
      </w:pPr>
      <w:rPr>
        <w:rFonts w:ascii="Symbol" w:hAnsi="Symbol" w:hint="default"/>
      </w:rPr>
    </w:lvl>
    <w:lvl w:ilvl="7" w:tplc="580A0003" w:tentative="1">
      <w:start w:val="1"/>
      <w:numFmt w:val="bullet"/>
      <w:lvlText w:val="o"/>
      <w:lvlJc w:val="left"/>
      <w:pPr>
        <w:ind w:left="5804" w:hanging="360"/>
      </w:pPr>
      <w:rPr>
        <w:rFonts w:ascii="Courier New" w:hAnsi="Courier New" w:cs="Courier New" w:hint="default"/>
      </w:rPr>
    </w:lvl>
    <w:lvl w:ilvl="8" w:tplc="580A0005" w:tentative="1">
      <w:start w:val="1"/>
      <w:numFmt w:val="bullet"/>
      <w:lvlText w:val=""/>
      <w:lvlJc w:val="left"/>
      <w:pPr>
        <w:ind w:left="6524" w:hanging="360"/>
      </w:pPr>
      <w:rPr>
        <w:rFonts w:ascii="Wingdings" w:hAnsi="Wingdings" w:hint="default"/>
      </w:rPr>
    </w:lvl>
  </w:abstractNum>
  <w:abstractNum w:abstractNumId="12" w15:restartNumberingAfterBreak="0">
    <w:nsid w:val="55E442B9"/>
    <w:multiLevelType w:val="hybridMultilevel"/>
    <w:tmpl w:val="126619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14263061">
    <w:abstractNumId w:val="8"/>
  </w:num>
  <w:num w:numId="2" w16cid:durableId="1413771224">
    <w:abstractNumId w:val="6"/>
  </w:num>
  <w:num w:numId="3" w16cid:durableId="1163886337">
    <w:abstractNumId w:val="5"/>
  </w:num>
  <w:num w:numId="4" w16cid:durableId="491873588">
    <w:abstractNumId w:val="4"/>
  </w:num>
  <w:num w:numId="5" w16cid:durableId="524102355">
    <w:abstractNumId w:val="7"/>
  </w:num>
  <w:num w:numId="6" w16cid:durableId="1200971589">
    <w:abstractNumId w:val="3"/>
  </w:num>
  <w:num w:numId="7" w16cid:durableId="314603511">
    <w:abstractNumId w:val="2"/>
  </w:num>
  <w:num w:numId="8" w16cid:durableId="695886828">
    <w:abstractNumId w:val="1"/>
  </w:num>
  <w:num w:numId="9" w16cid:durableId="2021004969">
    <w:abstractNumId w:val="0"/>
  </w:num>
  <w:num w:numId="10" w16cid:durableId="1028801728">
    <w:abstractNumId w:val="10"/>
  </w:num>
  <w:num w:numId="11" w16cid:durableId="1185901678">
    <w:abstractNumId w:val="9"/>
  </w:num>
  <w:num w:numId="12" w16cid:durableId="211773367">
    <w:abstractNumId w:val="11"/>
  </w:num>
  <w:num w:numId="13" w16cid:durableId="9297027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1BF3"/>
    <w:rsid w:val="0029639D"/>
    <w:rsid w:val="002F7C54"/>
    <w:rsid w:val="00326F90"/>
    <w:rsid w:val="00341EF7"/>
    <w:rsid w:val="00520667"/>
    <w:rsid w:val="005B0299"/>
    <w:rsid w:val="0063714B"/>
    <w:rsid w:val="006533E6"/>
    <w:rsid w:val="00821E21"/>
    <w:rsid w:val="008D1CA8"/>
    <w:rsid w:val="00A83D9F"/>
    <w:rsid w:val="00AA1D8D"/>
    <w:rsid w:val="00B47730"/>
    <w:rsid w:val="00C320BA"/>
    <w:rsid w:val="00CB0664"/>
    <w:rsid w:val="00CD68C2"/>
    <w:rsid w:val="00CE6956"/>
    <w:rsid w:val="00D823D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9EFBFF"/>
  <w14:defaultImageDpi w14:val="300"/>
  <w15:docId w15:val="{63534166-9E5A-48B2-8712-C0D7FA071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52368A0DB1641D428485A3D8B3293150" ma:contentTypeVersion="23" ma:contentTypeDescription="Crear nuevo documento." ma:contentTypeScope="" ma:versionID="c6381e63a1cd5534627b170ee0447f31">
  <xsd:schema xmlns:xsd="http://www.w3.org/2001/XMLSchema" xmlns:xs="http://www.w3.org/2001/XMLSchema" xmlns:p="http://schemas.microsoft.com/office/2006/metadata/properties" xmlns:ns2="1b3372a7-7dc8-4b00-afef-77a513e85060" xmlns:ns3="32bbef5c-91bf-4284-8fae-217681526adc" targetNamespace="http://schemas.microsoft.com/office/2006/metadata/properties" ma:root="true" ma:fieldsID="0a73a471ab41ab445aa43f414235708c" ns2:_="" ns3:_="">
    <xsd:import namespace="1b3372a7-7dc8-4b00-afef-77a513e85060"/>
    <xsd:import namespace="32bbef5c-91bf-4284-8fae-217681526adc"/>
    <xsd:element name="properties">
      <xsd:complexType>
        <xsd:sequence>
          <xsd:element name="documentManagement">
            <xsd:complexType>
              <xsd:all>
                <xsd:element ref="ns2:Vencimiento"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372a7-7dc8-4b00-afef-77a513e85060" elementFormDefault="qualified">
    <xsd:import namespace="http://schemas.microsoft.com/office/2006/documentManagement/types"/>
    <xsd:import namespace="http://schemas.microsoft.com/office/infopath/2007/PartnerControls"/>
    <xsd:element name="Vencimiento" ma:index="2" nillable="true" ma:displayName="Fecha de Vencimiento" ma:format="DateTime" ma:internalName="Vencimiento" ma:readOnly="fals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bef5c-91bf-4284-8fae-217681526adc" elementFormDefault="qualified">
    <xsd:import namespace="http://schemas.microsoft.com/office/2006/documentManagement/types"/>
    <xsd:import namespace="http://schemas.microsoft.com/office/infopath/2007/PartnerControls"/>
    <xsd:element name="SharedWithUsers" ma:index="8"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hidden="true" ma:internalName="SharedWithDetails" ma:readOnly="true">
      <xsd:simpleType>
        <xsd:restriction base="dms:Note"/>
      </xsd:simpleType>
    </xsd:element>
    <xsd:element name="TaxCatchAll" ma:index="24" nillable="true" ma:displayName="Taxonomy Catch All Column" ma:hidden="true" ma:list="{140b5aea-3ba5-424c-bb0b-7839c7b08bcb}" ma:internalName="TaxCatchAll" ma:showField="CatchAllData" ma:web="32bbef5c-91bf-4284-8fae-21768152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3372a7-7dc8-4b00-afef-77a513e85060">
      <Terms xmlns="http://schemas.microsoft.com/office/infopath/2007/PartnerControls"/>
    </lcf76f155ced4ddcb4097134ff3c332f>
    <Vencimiento xmlns="1b3372a7-7dc8-4b00-afef-77a513e85060" xsi:nil="true"/>
    <TaxCatchAll xmlns="32bbef5c-91bf-4284-8fae-217681526adc"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D84ADA8-C8F2-4750-98DD-401FDB0C18AC}"/>
</file>

<file path=customXml/itemProps3.xml><?xml version="1.0" encoding="utf-8"?>
<ds:datastoreItem xmlns:ds="http://schemas.openxmlformats.org/officeDocument/2006/customXml" ds:itemID="{62023454-39AF-436A-BCA6-AC8B9DC89E17}"/>
</file>

<file path=customXml/itemProps4.xml><?xml version="1.0" encoding="utf-8"?>
<ds:datastoreItem xmlns:ds="http://schemas.openxmlformats.org/officeDocument/2006/customXml" ds:itemID="{106A7E84-ED01-49B0-B4B2-F0FFF6B0FF0C}"/>
</file>

<file path=docProps/app.xml><?xml version="1.0" encoding="utf-8"?>
<Properties xmlns="http://schemas.openxmlformats.org/officeDocument/2006/extended-properties" xmlns:vt="http://schemas.openxmlformats.org/officeDocument/2006/docPropsVTypes">
  <Template>Normal</Template>
  <TotalTime>0</TotalTime>
  <Pages>7</Pages>
  <Words>2053</Words>
  <Characters>11296</Characters>
  <Application>Microsoft Office Word</Application>
  <DocSecurity>0</DocSecurity>
  <Lines>94</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Andreita</cp:lastModifiedBy>
  <cp:revision>2</cp:revision>
  <dcterms:created xsi:type="dcterms:W3CDTF">2025-12-26T23:17:00Z</dcterms:created>
  <dcterms:modified xsi:type="dcterms:W3CDTF">2025-12-26T23:17:00Z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0x01010052368A0DB1641D428485A3D8B3293150</vt:lpwstr>
  </property>
</Properties>
</file>